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1A824">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英语读写1</w:t>
      </w:r>
      <w:r>
        <w:rPr>
          <w:rFonts w:hint="eastAsia" w:ascii="黑体" w:hAnsi="黑体" w:eastAsia="黑体"/>
          <w:bCs/>
          <w:sz w:val="32"/>
          <w:szCs w:val="32"/>
        </w:rPr>
        <w:t>》本科课程教学大纲</w:t>
      </w:r>
    </w:p>
    <w:p w14:paraId="0785DFF5">
      <w:pPr>
        <w:pStyle w:val="22"/>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1"/>
        <w:gridCol w:w="2315"/>
        <w:gridCol w:w="1303"/>
        <w:gridCol w:w="875"/>
        <w:gridCol w:w="585"/>
        <w:gridCol w:w="862"/>
        <w:gridCol w:w="805"/>
      </w:tblGrid>
      <w:tr w14:paraId="309D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vMerge w:val="restart"/>
            <w:tcBorders>
              <w:top w:val="single" w:color="auto" w:sz="12" w:space="0"/>
              <w:left w:val="single" w:color="auto" w:sz="12" w:space="0"/>
            </w:tcBorders>
            <w:shd w:val="clear" w:color="auto" w:fill="auto"/>
            <w:vAlign w:val="center"/>
          </w:tcPr>
          <w:p w14:paraId="14E5A5F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745" w:type="dxa"/>
            <w:gridSpan w:val="6"/>
            <w:tcBorders>
              <w:top w:val="single" w:color="auto" w:sz="12" w:space="0"/>
              <w:right w:val="single" w:color="auto" w:sz="12" w:space="0"/>
            </w:tcBorders>
            <w:vAlign w:val="center"/>
          </w:tcPr>
          <w:p w14:paraId="1F5CD173">
            <w:pPr>
              <w:widowControl w:val="0"/>
              <w:jc w:val="left"/>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英语读写 1                                                                             </w:t>
            </w:r>
          </w:p>
        </w:tc>
      </w:tr>
      <w:tr w14:paraId="320E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vMerge w:val="continue"/>
            <w:tcBorders>
              <w:left w:val="single" w:color="auto" w:sz="12" w:space="0"/>
            </w:tcBorders>
            <w:shd w:val="clear" w:color="auto" w:fill="auto"/>
            <w:vAlign w:val="center"/>
          </w:tcPr>
          <w:p w14:paraId="280AE30E">
            <w:pPr>
              <w:widowControl w:val="0"/>
              <w:jc w:val="center"/>
              <w:rPr>
                <w:rFonts w:ascii="黑体" w:hAnsi="黑体" w:eastAsia="黑体"/>
                <w:color w:val="000000" w:themeColor="text1"/>
                <w:sz w:val="21"/>
                <w:szCs w:val="18"/>
                <w14:textFill>
                  <w14:solidFill>
                    <w14:schemeClr w14:val="tx1"/>
                  </w14:solidFill>
                </w14:textFill>
              </w:rPr>
            </w:pPr>
          </w:p>
        </w:tc>
        <w:tc>
          <w:tcPr>
            <w:tcW w:w="6745" w:type="dxa"/>
            <w:gridSpan w:val="6"/>
            <w:tcBorders>
              <w:right w:val="single" w:color="auto" w:sz="12" w:space="0"/>
            </w:tcBorders>
            <w:vAlign w:val="center"/>
          </w:tcPr>
          <w:p w14:paraId="56117ADF">
            <w:pPr>
              <w:widowControl w:val="0"/>
              <w:jc w:val="left"/>
              <w:rPr>
                <w:rFonts w:hint="eastAsia"/>
                <w:color w:val="000000" w:themeColor="text1"/>
                <w:sz w:val="21"/>
                <w:szCs w:val="21"/>
                <w:highlight w:val="none"/>
                <w:lang w:val="en-US" w:eastAsia="zh-CN"/>
                <w14:textFill>
                  <w14:solidFill>
                    <w14:schemeClr w14:val="tx1"/>
                  </w14:solidFill>
                </w14:textFill>
              </w:rPr>
            </w:pPr>
            <w:r>
              <w:rPr>
                <w:rFonts w:hint="default" w:ascii="Times New Roman Bold" w:hAnsi="Times New Roman Bold" w:eastAsia="黑体" w:cs="Times New Roman Bold"/>
                <w:b/>
                <w:bCs/>
                <w:color w:val="000000" w:themeColor="text1"/>
                <w:sz w:val="21"/>
                <w:szCs w:val="21"/>
                <w:lang w:val="en-US"/>
                <w14:textFill>
                  <w14:solidFill>
                    <w14:schemeClr w14:val="tx1"/>
                  </w14:solidFill>
                </w14:textFill>
              </w:rPr>
              <w:t>English</w:t>
            </w:r>
            <w:r>
              <w:rPr>
                <w:rFonts w:hint="eastAsia" w:ascii="Times New Roman" w:hAnsi="Times New Roman" w:cs="Times New Roman"/>
                <w:b/>
                <w:sz w:val="21"/>
                <w:szCs w:val="21"/>
              </w:rPr>
              <w:t xml:space="preserve"> </w:t>
            </w:r>
            <w:r>
              <w:rPr>
                <w:rFonts w:ascii="Times New Roman" w:hAnsi="Times New Roman" w:cs="Times New Roman"/>
                <w:b/>
                <w:sz w:val="21"/>
                <w:szCs w:val="21"/>
              </w:rPr>
              <w:t>R</w:t>
            </w:r>
            <w:r>
              <w:rPr>
                <w:rFonts w:hint="eastAsia" w:ascii="Times New Roman" w:hAnsi="Times New Roman" w:cs="Times New Roman"/>
                <w:b/>
                <w:sz w:val="21"/>
                <w:szCs w:val="21"/>
              </w:rPr>
              <w:t>ea</w:t>
            </w:r>
            <w:r>
              <w:rPr>
                <w:rFonts w:ascii="Times New Roman" w:hAnsi="Times New Roman" w:cs="Times New Roman"/>
                <w:b/>
                <w:sz w:val="21"/>
                <w:szCs w:val="21"/>
              </w:rPr>
              <w:t xml:space="preserve">ding and Writing </w:t>
            </w:r>
            <w:r>
              <w:rPr>
                <w:rFonts w:hint="eastAsia" w:ascii="Times New Roman" w:hAnsi="Times New Roman" w:cs="Times New Roman"/>
                <w:b/>
                <w:sz w:val="21"/>
                <w:szCs w:val="21"/>
                <w:lang w:val="en-US" w:eastAsia="zh-CN"/>
              </w:rPr>
              <w:t>1</w:t>
            </w:r>
          </w:p>
        </w:tc>
      </w:tr>
      <w:tr w14:paraId="6DB3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401CC57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315" w:type="dxa"/>
            <w:vAlign w:val="center"/>
          </w:tcPr>
          <w:p w14:paraId="19DC76A7">
            <w:pPr>
              <w:widowControl w:val="0"/>
              <w:jc w:val="center"/>
              <w:rPr>
                <w:rFonts w:hint="default" w:ascii="黑体" w:hAnsi="黑体"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2020584</w:t>
            </w:r>
          </w:p>
        </w:tc>
        <w:tc>
          <w:tcPr>
            <w:tcW w:w="2178" w:type="dxa"/>
            <w:gridSpan w:val="2"/>
            <w:vAlign w:val="center"/>
          </w:tcPr>
          <w:p w14:paraId="17C7687E">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252" w:type="dxa"/>
            <w:gridSpan w:val="3"/>
            <w:tcBorders>
              <w:right w:val="single" w:color="auto" w:sz="12" w:space="0"/>
            </w:tcBorders>
            <w:vAlign w:val="center"/>
          </w:tcPr>
          <w:p w14:paraId="3383BFC4">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r>
      <w:tr w14:paraId="2B93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0672FB9B">
            <w:pPr>
              <w:widowControl w:val="0"/>
              <w:jc w:val="center"/>
              <w:rPr>
                <w:sz w:val="21"/>
                <w:szCs w:val="18"/>
              </w:rPr>
            </w:pPr>
            <w:r>
              <w:rPr>
                <w:rFonts w:hint="eastAsia" w:ascii="黑体" w:hAnsi="黑体" w:eastAsia="黑体"/>
                <w:color w:val="000000" w:themeColor="text1"/>
                <w:sz w:val="21"/>
                <w:szCs w:val="18"/>
                <w:lang w:eastAsia="zh-CN"/>
                <w14:textFill>
                  <w14:solidFill>
                    <w14:schemeClr w14:val="tx1"/>
                  </w14:solidFill>
                </w14:textFill>
              </w:rPr>
              <w:t xml:space="preserve"> </w:t>
            </w:r>
            <w:r>
              <w:rPr>
                <w:rFonts w:hint="eastAsia" w:ascii="黑体" w:hAnsi="黑体" w:eastAsia="黑体"/>
                <w:color w:val="000000" w:themeColor="text1"/>
                <w:sz w:val="21"/>
                <w:szCs w:val="18"/>
                <w:lang w:val="en-US" w:eastAsia="zh-CN"/>
                <w14:textFill>
                  <w14:solidFill>
                    <w14:schemeClr w14:val="tx1"/>
                  </w14:solidFill>
                </w14:textFill>
              </w:rPr>
              <w:t xml:space="preserve">                           </w:t>
            </w: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315" w:type="dxa"/>
            <w:vAlign w:val="center"/>
          </w:tcPr>
          <w:p w14:paraId="2F56E3C6">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48</w:t>
            </w:r>
          </w:p>
        </w:tc>
        <w:tc>
          <w:tcPr>
            <w:tcW w:w="1303" w:type="dxa"/>
            <w:vAlign w:val="center"/>
          </w:tcPr>
          <w:p w14:paraId="536E9D2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75" w:type="dxa"/>
            <w:vAlign w:val="center"/>
          </w:tcPr>
          <w:p w14:paraId="5218075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48</w:t>
            </w:r>
          </w:p>
        </w:tc>
        <w:tc>
          <w:tcPr>
            <w:tcW w:w="1447" w:type="dxa"/>
            <w:gridSpan w:val="2"/>
            <w:vAlign w:val="center"/>
          </w:tcPr>
          <w:p w14:paraId="5C88E23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805" w:type="dxa"/>
            <w:tcBorders>
              <w:right w:val="single" w:color="auto" w:sz="12" w:space="0"/>
            </w:tcBorders>
            <w:vAlign w:val="center"/>
          </w:tcPr>
          <w:p w14:paraId="0A0BBC2F">
            <w:pPr>
              <w:widowControl w:val="0"/>
              <w:jc w:val="center"/>
              <w:rPr>
                <w:rFonts w:hint="eastAsia"/>
                <w:color w:val="000000" w:themeColor="text1"/>
                <w:sz w:val="21"/>
                <w:szCs w:val="21"/>
                <w14:textFill>
                  <w14:solidFill>
                    <w14:schemeClr w14:val="tx1"/>
                  </w14:solidFill>
                </w14:textFill>
              </w:rPr>
            </w:pPr>
          </w:p>
        </w:tc>
      </w:tr>
      <w:tr w14:paraId="362C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683FE6D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315" w:type="dxa"/>
            <w:vAlign w:val="center"/>
          </w:tcPr>
          <w:p w14:paraId="3DF9EBBE">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国际教育</w:t>
            </w:r>
            <w:r>
              <w:rPr>
                <w:rFonts w:hint="eastAsia"/>
                <w:color w:val="000000" w:themeColor="text1"/>
                <w:sz w:val="21"/>
                <w:szCs w:val="21"/>
                <w14:textFill>
                  <w14:solidFill>
                    <w14:schemeClr w14:val="tx1"/>
                  </w14:solidFill>
                </w14:textFill>
              </w:rPr>
              <w:t>学院</w:t>
            </w:r>
          </w:p>
        </w:tc>
        <w:tc>
          <w:tcPr>
            <w:tcW w:w="2178" w:type="dxa"/>
            <w:gridSpan w:val="2"/>
            <w:vAlign w:val="center"/>
          </w:tcPr>
          <w:p w14:paraId="61A175AB">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适用专业与年级</w:t>
            </w:r>
          </w:p>
        </w:tc>
        <w:tc>
          <w:tcPr>
            <w:tcW w:w="2252" w:type="dxa"/>
            <w:gridSpan w:val="3"/>
            <w:tcBorders>
              <w:right w:val="single" w:color="auto" w:sz="12" w:space="0"/>
            </w:tcBorders>
            <w:vAlign w:val="center"/>
          </w:tcPr>
          <w:p w14:paraId="3CF51371">
            <w:pPr>
              <w:widowControl w:val="0"/>
              <w:jc w:val="left"/>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国教相关专业</w:t>
            </w:r>
          </w:p>
          <w:p w14:paraId="3B3ACECE">
            <w:pPr>
              <w:widowControl w:val="0"/>
              <w:jc w:val="both"/>
              <w:rPr>
                <w:color w:val="000000" w:themeColor="text1"/>
                <w:sz w:val="21"/>
                <w:szCs w:val="21"/>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一年级（上）</w:t>
            </w:r>
          </w:p>
        </w:tc>
      </w:tr>
      <w:tr w14:paraId="1C2C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79702B4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315" w:type="dxa"/>
            <w:vAlign w:val="center"/>
          </w:tcPr>
          <w:p w14:paraId="27317D1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通识教育必修课</w:t>
            </w:r>
          </w:p>
        </w:tc>
        <w:tc>
          <w:tcPr>
            <w:tcW w:w="2178" w:type="dxa"/>
            <w:gridSpan w:val="2"/>
            <w:vAlign w:val="center"/>
          </w:tcPr>
          <w:p w14:paraId="656B3498">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r>
              <w:rPr>
                <w:rFonts w:hint="eastAsia" w:ascii="黑体" w:hAnsi="黑体" w:eastAsia="黑体"/>
                <w:color w:val="000000" w:themeColor="text1"/>
                <w:sz w:val="21"/>
                <w:szCs w:val="21"/>
                <w:lang w:val="en-US" w:eastAsia="zh-CN"/>
                <w14:textFill>
                  <w14:solidFill>
                    <w14:schemeClr w14:val="tx1"/>
                  </w14:solidFill>
                </w14:textFill>
              </w:rPr>
              <w:t xml:space="preserve">                                                                                                                                                                                </w:t>
            </w:r>
          </w:p>
        </w:tc>
        <w:tc>
          <w:tcPr>
            <w:tcW w:w="2252" w:type="dxa"/>
            <w:gridSpan w:val="3"/>
            <w:tcBorders>
              <w:right w:val="single" w:color="auto" w:sz="12" w:space="0"/>
            </w:tcBorders>
            <w:vAlign w:val="center"/>
          </w:tcPr>
          <w:p w14:paraId="25E3B4A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1+X</w:t>
            </w:r>
          </w:p>
        </w:tc>
      </w:tr>
      <w:tr w14:paraId="5BD3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01AE806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493" w:type="dxa"/>
            <w:gridSpan w:val="3"/>
            <w:vAlign w:val="center"/>
          </w:tcPr>
          <w:p w14:paraId="362B6247">
            <w:pPr>
              <w:widowControl w:val="0"/>
              <w:numPr>
                <w:ilvl w:val="0"/>
                <w:numId w:val="0"/>
              </w:numPr>
              <w:spacing w:line="240" w:lineRule="auto"/>
              <w:jc w:val="both"/>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 xml:space="preserve">自编教材：雅思阅读与写作 </w:t>
            </w:r>
            <w:r>
              <w:rPr>
                <w:rFonts w:hint="eastAsia" w:ascii="Times New Roman" w:hAnsi="Times New Roman" w:cs="Times New Roman"/>
                <w:sz w:val="21"/>
                <w:szCs w:val="21"/>
                <w:highlight w:val="none"/>
                <w:lang w:val="en-US" w:eastAsia="zh-CN"/>
              </w:rPr>
              <w:t>IELTS Reading and Writing</w:t>
            </w:r>
          </w:p>
        </w:tc>
        <w:tc>
          <w:tcPr>
            <w:tcW w:w="1447" w:type="dxa"/>
            <w:gridSpan w:val="2"/>
            <w:vAlign w:val="center"/>
          </w:tcPr>
          <w:p w14:paraId="33C2AFB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707CC0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805" w:type="dxa"/>
            <w:tcBorders>
              <w:right w:val="single" w:color="auto" w:sz="12" w:space="0"/>
            </w:tcBorders>
            <w:vAlign w:val="center"/>
          </w:tcPr>
          <w:p w14:paraId="59613D10">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D13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9" w:hRule="atLeast"/>
        </w:trPr>
        <w:tc>
          <w:tcPr>
            <w:tcW w:w="1731" w:type="dxa"/>
            <w:tcBorders>
              <w:left w:val="single" w:color="auto" w:sz="12" w:space="0"/>
            </w:tcBorders>
            <w:shd w:val="clear" w:color="auto" w:fill="auto"/>
            <w:vAlign w:val="center"/>
          </w:tcPr>
          <w:p w14:paraId="4F4EF95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745" w:type="dxa"/>
            <w:gridSpan w:val="6"/>
            <w:tcBorders>
              <w:right w:val="single" w:color="auto" w:sz="12" w:space="0"/>
            </w:tcBorders>
            <w:vAlign w:val="center"/>
          </w:tcPr>
          <w:p w14:paraId="30B92F20">
            <w:pPr>
              <w:widowControl w:val="0"/>
              <w:jc w:val="left"/>
              <w:rPr>
                <w:rFonts w:hint="default" w:eastAsiaTheme="minorEastAsia"/>
                <w:highlight w:val="none"/>
                <w:lang w:val="en-US" w:eastAsia="zh-CN"/>
              </w:rPr>
            </w:pPr>
            <w:r>
              <w:rPr>
                <w:rFonts w:hint="eastAsia" w:eastAsiaTheme="minorEastAsia"/>
                <w:sz w:val="21"/>
                <w:szCs w:val="21"/>
                <w:highlight w:val="none"/>
                <w:lang w:val="en-US" w:eastAsia="zh-CN"/>
              </w:rPr>
              <w:t>高中英语</w:t>
            </w:r>
          </w:p>
        </w:tc>
      </w:tr>
      <w:tr w14:paraId="606C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6" w:hRule="atLeast"/>
        </w:trPr>
        <w:tc>
          <w:tcPr>
            <w:tcW w:w="1731" w:type="dxa"/>
            <w:tcBorders>
              <w:left w:val="single" w:color="auto" w:sz="12" w:space="0"/>
            </w:tcBorders>
            <w:shd w:val="clear" w:color="auto" w:fill="auto"/>
            <w:vAlign w:val="center"/>
          </w:tcPr>
          <w:p w14:paraId="3D87BCB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745" w:type="dxa"/>
            <w:gridSpan w:val="6"/>
            <w:tcBorders>
              <w:right w:val="single" w:color="auto" w:sz="12" w:space="0"/>
            </w:tcBorders>
          </w:tcPr>
          <w:p w14:paraId="41383392">
            <w:pPr>
              <w:pStyle w:val="20"/>
              <w:ind w:firstLine="420" w:firstLineChars="200"/>
              <w:rPr>
                <w:rFonts w:hint="eastAsia" w:eastAsia="宋体"/>
                <w:sz w:val="21"/>
                <w:szCs w:val="21"/>
                <w:highlight w:val="none"/>
              </w:rPr>
            </w:pPr>
            <w:r>
              <w:rPr>
                <w:rFonts w:hint="eastAsia" w:eastAsia="宋体"/>
                <w:sz w:val="21"/>
                <w:szCs w:val="21"/>
                <w:highlight w:val="none"/>
              </w:rPr>
              <w:t>雅思是高等教育</w:t>
            </w:r>
            <w:r>
              <w:rPr>
                <w:rFonts w:hint="eastAsia" w:eastAsia="宋体"/>
                <w:sz w:val="21"/>
                <w:szCs w:val="21"/>
                <w:highlight w:val="none"/>
                <w:lang w:val="en-US" w:eastAsia="zh-CN"/>
              </w:rPr>
              <w:t>国际</w:t>
            </w:r>
            <w:r>
              <w:rPr>
                <w:rFonts w:hint="eastAsia" w:eastAsia="宋体"/>
                <w:sz w:val="21"/>
                <w:szCs w:val="21"/>
                <w:highlight w:val="none"/>
              </w:rPr>
              <w:t>合作办学项目英语教学的一门重要必修课，旨在强化学生英语水平，掌握雅思考试技巧，为将来考过雅思考试顺利出国打下基础。</w:t>
            </w:r>
            <w:r>
              <w:rPr>
                <w:rFonts w:hint="eastAsia" w:eastAsia="宋体"/>
                <w:sz w:val="21"/>
                <w:szCs w:val="21"/>
                <w:highlight w:val="none"/>
                <w:lang w:val="en-US" w:eastAsia="zh-CN"/>
              </w:rPr>
              <w:t>雅思考试包括四个部分，依次为听力、阅读、写作和口语，每一部分都独立评分。</w:t>
            </w:r>
            <w:r>
              <w:rPr>
                <w:rFonts w:hint="eastAsia" w:eastAsia="宋体"/>
                <w:sz w:val="21"/>
                <w:szCs w:val="21"/>
                <w:highlight w:val="none"/>
              </w:rPr>
              <w:t>《</w:t>
            </w:r>
            <w:r>
              <w:rPr>
                <w:rFonts w:hint="eastAsia" w:eastAsia="宋体"/>
                <w:sz w:val="21"/>
                <w:szCs w:val="21"/>
                <w:highlight w:val="none"/>
                <w:lang w:val="en-US" w:eastAsia="zh-CN"/>
              </w:rPr>
              <w:t>英语读写1</w:t>
            </w:r>
            <w:r>
              <w:rPr>
                <w:rFonts w:hint="eastAsia" w:eastAsia="宋体"/>
                <w:sz w:val="21"/>
                <w:szCs w:val="21"/>
                <w:highlight w:val="none"/>
              </w:rPr>
              <w:t>》教学是以英语语言知识与应用技能、学习策略和跨文化交际为主要内容，以外语教学理论为指导，并集多种教学模式和教学手段为一体的教学体系。本课程目的是：培养学生具有较强的</w:t>
            </w:r>
            <w:r>
              <w:rPr>
                <w:rFonts w:hint="eastAsia" w:eastAsia="宋体"/>
                <w:sz w:val="21"/>
                <w:szCs w:val="21"/>
                <w:highlight w:val="none"/>
                <w:lang w:val="en-US" w:eastAsia="zh-CN"/>
              </w:rPr>
              <w:t>阅读</w:t>
            </w:r>
            <w:r>
              <w:rPr>
                <w:rFonts w:hint="eastAsia" w:eastAsia="宋体"/>
                <w:sz w:val="21"/>
                <w:szCs w:val="21"/>
                <w:highlight w:val="none"/>
              </w:rPr>
              <w:t>能力和实用有效的</w:t>
            </w:r>
            <w:r>
              <w:rPr>
                <w:rFonts w:hint="eastAsia" w:eastAsia="宋体"/>
                <w:sz w:val="21"/>
                <w:szCs w:val="21"/>
                <w:highlight w:val="none"/>
                <w:lang w:val="en-US" w:eastAsia="zh-CN"/>
              </w:rPr>
              <w:t>书面写作沟通表达</w:t>
            </w:r>
            <w:r>
              <w:rPr>
                <w:rFonts w:hint="eastAsia" w:eastAsia="宋体"/>
                <w:sz w:val="21"/>
                <w:szCs w:val="21"/>
                <w:highlight w:val="none"/>
              </w:rPr>
              <w:t>能力，使他们能用英语交流信息。教学应帮助</w:t>
            </w:r>
            <w:r>
              <w:rPr>
                <w:rFonts w:hint="eastAsia" w:eastAsia="宋体"/>
                <w:sz w:val="21"/>
                <w:szCs w:val="21"/>
                <w:highlight w:val="none"/>
                <w:lang w:val="en-US" w:eastAsia="zh-CN"/>
              </w:rPr>
              <w:t>为</w:t>
            </w:r>
            <w:r>
              <w:rPr>
                <w:rFonts w:hint="eastAsia" w:eastAsia="宋体"/>
                <w:sz w:val="21"/>
                <w:szCs w:val="21"/>
                <w:highlight w:val="none"/>
              </w:rPr>
              <w:t>学生</w:t>
            </w:r>
            <w:r>
              <w:rPr>
                <w:rFonts w:hint="eastAsia" w:eastAsia="宋体"/>
                <w:sz w:val="21"/>
                <w:szCs w:val="21"/>
                <w:highlight w:val="none"/>
                <w:lang w:val="en-US" w:eastAsia="zh-CN"/>
              </w:rPr>
              <w:t>今后海外留学发展</w:t>
            </w:r>
            <w:r>
              <w:rPr>
                <w:rFonts w:hint="eastAsia" w:eastAsia="宋体"/>
                <w:sz w:val="21"/>
                <w:szCs w:val="21"/>
                <w:highlight w:val="none"/>
              </w:rPr>
              <w:t>打下扎实的语言基础，掌握良好的语言学习方法，具有较强的英语应用能力和相应的综合文化素养，以适应社会发展和经济建设的需要。</w:t>
            </w:r>
          </w:p>
          <w:p w14:paraId="1D753867">
            <w:pPr>
              <w:pStyle w:val="20"/>
              <w:ind w:firstLine="420" w:firstLineChars="200"/>
              <w:rPr>
                <w:rFonts w:eastAsia="宋体"/>
                <w:highlight w:val="none"/>
              </w:rPr>
            </w:pPr>
            <w:r>
              <w:rPr>
                <w:rFonts w:hint="eastAsia" w:eastAsia="宋体"/>
                <w:sz w:val="21"/>
                <w:szCs w:val="21"/>
                <w:highlight w:val="none"/>
              </w:rPr>
              <w:t>《</w:t>
            </w:r>
            <w:r>
              <w:rPr>
                <w:rFonts w:hint="eastAsia" w:eastAsia="宋体"/>
                <w:sz w:val="21"/>
                <w:szCs w:val="21"/>
                <w:highlight w:val="none"/>
                <w:lang w:val="en-US" w:eastAsia="zh-CN"/>
              </w:rPr>
              <w:t>英语读写1</w:t>
            </w:r>
            <w:r>
              <w:rPr>
                <w:rFonts w:hint="eastAsia" w:eastAsia="宋体"/>
                <w:sz w:val="21"/>
                <w:szCs w:val="21"/>
                <w:highlight w:val="none"/>
              </w:rPr>
              <w:t>》是</w:t>
            </w:r>
            <w:r>
              <w:rPr>
                <w:rFonts w:hint="eastAsia" w:eastAsia="宋体"/>
                <w:sz w:val="21"/>
                <w:szCs w:val="21"/>
                <w:highlight w:val="none"/>
                <w:lang w:val="en-US" w:eastAsia="zh-CN"/>
              </w:rPr>
              <w:t>雅思课程</w:t>
            </w:r>
            <w:r>
              <w:rPr>
                <w:rFonts w:hint="eastAsia" w:eastAsia="宋体"/>
                <w:sz w:val="21"/>
                <w:szCs w:val="21"/>
                <w:highlight w:val="none"/>
              </w:rPr>
              <w:t>第</w:t>
            </w:r>
            <w:r>
              <w:rPr>
                <w:rFonts w:hint="eastAsia" w:eastAsia="宋体"/>
                <w:sz w:val="21"/>
                <w:szCs w:val="21"/>
                <w:highlight w:val="none"/>
                <w:lang w:val="en-US" w:eastAsia="zh-CN"/>
              </w:rPr>
              <w:t>一</w:t>
            </w:r>
            <w:r>
              <w:rPr>
                <w:rFonts w:hint="eastAsia" w:eastAsia="宋体"/>
                <w:sz w:val="21"/>
                <w:szCs w:val="21"/>
                <w:highlight w:val="none"/>
              </w:rPr>
              <w:t>学期的课程，</w:t>
            </w:r>
            <w:r>
              <w:rPr>
                <w:rFonts w:hint="eastAsia" w:eastAsia="宋体"/>
                <w:sz w:val="21"/>
                <w:szCs w:val="21"/>
                <w:highlight w:val="none"/>
                <w:lang w:val="en-US" w:eastAsia="zh-CN"/>
              </w:rPr>
              <w:t>旨在培养</w:t>
            </w:r>
            <w:r>
              <w:rPr>
                <w:rFonts w:hint="eastAsia" w:eastAsia="宋体"/>
                <w:sz w:val="21"/>
                <w:szCs w:val="21"/>
                <w:highlight w:val="none"/>
              </w:rPr>
              <w:t>学生在词汇、结构、</w:t>
            </w:r>
            <w:r>
              <w:rPr>
                <w:rFonts w:hint="eastAsia" w:eastAsia="宋体"/>
                <w:sz w:val="21"/>
                <w:szCs w:val="21"/>
                <w:highlight w:val="none"/>
                <w:lang w:val="en-US" w:eastAsia="zh-CN"/>
              </w:rPr>
              <w:t>阅读</w:t>
            </w:r>
            <w:r>
              <w:rPr>
                <w:rFonts w:hint="eastAsia" w:eastAsia="宋体"/>
                <w:sz w:val="21"/>
                <w:szCs w:val="21"/>
                <w:highlight w:val="none"/>
              </w:rPr>
              <w:t>与</w:t>
            </w:r>
            <w:r>
              <w:rPr>
                <w:rFonts w:hint="eastAsia" w:eastAsia="宋体"/>
                <w:sz w:val="21"/>
                <w:szCs w:val="21"/>
                <w:highlight w:val="none"/>
                <w:lang w:val="en-US" w:eastAsia="zh-CN"/>
              </w:rPr>
              <w:t>写作</w:t>
            </w:r>
            <w:r>
              <w:rPr>
                <w:rFonts w:hint="eastAsia" w:eastAsia="宋体"/>
                <w:sz w:val="21"/>
                <w:szCs w:val="21"/>
                <w:highlight w:val="none"/>
              </w:rPr>
              <w:t>方面都</w:t>
            </w:r>
            <w:r>
              <w:rPr>
                <w:rFonts w:hint="eastAsia" w:eastAsia="宋体"/>
                <w:sz w:val="21"/>
                <w:szCs w:val="21"/>
                <w:highlight w:val="none"/>
                <w:lang w:val="en-US" w:eastAsia="zh-CN"/>
              </w:rPr>
              <w:t>能够</w:t>
            </w:r>
            <w:r>
              <w:rPr>
                <w:rFonts w:hint="eastAsia" w:eastAsia="宋体"/>
                <w:sz w:val="21"/>
                <w:szCs w:val="21"/>
                <w:highlight w:val="none"/>
              </w:rPr>
              <w:t>有一定程度的进步。此阶段</w:t>
            </w:r>
            <w:r>
              <w:rPr>
                <w:rFonts w:hint="eastAsia" w:eastAsia="宋体"/>
                <w:sz w:val="21"/>
                <w:szCs w:val="21"/>
                <w:highlight w:val="none"/>
                <w:lang w:val="en-US" w:eastAsia="zh-CN"/>
              </w:rPr>
              <w:t>的学习为了解熟悉大学学习过程中的一些典型场景，如与导师或管理人员的讨论以及简短的课程介绍，或对教育及学术话题的探讨。词汇要求倾向生活化，注重英语语言的实际运用能力，与现实生活紧密结合。</w:t>
            </w:r>
            <w:r>
              <w:rPr>
                <w:rFonts w:hint="eastAsia" w:eastAsia="宋体"/>
                <w:sz w:val="21"/>
                <w:szCs w:val="21"/>
                <w:highlight w:val="none"/>
              </w:rPr>
              <w:t>选用当下流行的题材，真实有趣，配以适当的词汇、结构、翻译与写作练习。课程教学旨在培养学生具有较丰富的语言知识及较强的实际语言应用能力，增强其自主学习能力，提升综合文化素养，为今后学习各类</w:t>
            </w:r>
            <w:r>
              <w:rPr>
                <w:rFonts w:hint="eastAsia" w:eastAsia="宋体"/>
                <w:sz w:val="21"/>
                <w:szCs w:val="21"/>
                <w:highlight w:val="none"/>
                <w:lang w:val="en-US" w:eastAsia="zh-CN"/>
              </w:rPr>
              <w:t>海外学习课程</w:t>
            </w:r>
            <w:r>
              <w:rPr>
                <w:rFonts w:hint="eastAsia" w:eastAsia="宋体"/>
                <w:sz w:val="21"/>
                <w:szCs w:val="21"/>
                <w:highlight w:val="none"/>
              </w:rPr>
              <w:t>和跨文化交流打下坚实的基础。</w:t>
            </w:r>
          </w:p>
        </w:tc>
      </w:tr>
      <w:tr w14:paraId="436F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11" w:hRule="atLeast"/>
        </w:trPr>
        <w:tc>
          <w:tcPr>
            <w:tcW w:w="1731" w:type="dxa"/>
            <w:tcBorders>
              <w:left w:val="single" w:color="auto" w:sz="12" w:space="0"/>
              <w:bottom w:val="double" w:color="auto" w:sz="4" w:space="0"/>
            </w:tcBorders>
            <w:shd w:val="clear" w:color="auto" w:fill="auto"/>
            <w:vAlign w:val="center"/>
          </w:tcPr>
          <w:p w14:paraId="0C06BB8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745" w:type="dxa"/>
            <w:gridSpan w:val="6"/>
            <w:tcBorders>
              <w:bottom w:val="double" w:color="auto" w:sz="4" w:space="0"/>
              <w:right w:val="single" w:color="auto" w:sz="12" w:space="0"/>
            </w:tcBorders>
          </w:tcPr>
          <w:p w14:paraId="44826CC9">
            <w:pPr>
              <w:widowControl w:val="0"/>
              <w:spacing w:line="288" w:lineRule="auto"/>
              <w:jc w:val="both"/>
              <w:rPr>
                <w:sz w:val="21"/>
                <w:szCs w:val="21"/>
              </w:rPr>
            </w:pPr>
            <w:r>
              <w:rPr>
                <w:rFonts w:hint="eastAsia"/>
                <w:sz w:val="20"/>
                <w:szCs w:val="20"/>
              </w:rPr>
              <w:t xml:space="preserve">   </w:t>
            </w:r>
            <w:r>
              <w:rPr>
                <w:rFonts w:hint="eastAsia" w:ascii="Times New Roman" w:hAnsi="Times New Roman" w:cs="Times New Roman"/>
                <w:color w:val="000000" w:themeColor="text1"/>
                <w:sz w:val="21"/>
                <w:szCs w:val="21"/>
                <w14:textFill>
                  <w14:solidFill>
                    <w14:schemeClr w14:val="tx1"/>
                  </w14:solidFill>
                </w14:textFill>
              </w:rPr>
              <w:t>本课程适合</w:t>
            </w:r>
            <w:r>
              <w:rPr>
                <w:rFonts w:hint="eastAsia" w:ascii="Times New Roman" w:hAnsi="Times New Roman" w:cs="Times New Roman"/>
                <w:color w:val="000000" w:themeColor="text1"/>
                <w:sz w:val="21"/>
                <w:szCs w:val="21"/>
                <w:lang w:val="en-US" w:eastAsia="zh-CN"/>
                <w14:textFill>
                  <w14:solidFill>
                    <w14:schemeClr w14:val="tx1"/>
                  </w14:solidFill>
                </w14:textFill>
              </w:rPr>
              <w:t>本校新闻学、数媒技术</w:t>
            </w:r>
            <w:r>
              <w:rPr>
                <w:rFonts w:hint="eastAsia" w:ascii="Times New Roman" w:hAnsi="Times New Roman" w:cs="Times New Roman"/>
                <w:color w:val="000000" w:themeColor="text1"/>
                <w:sz w:val="21"/>
                <w:szCs w:val="21"/>
                <w14:textFill>
                  <w14:solidFill>
                    <w14:schemeClr w14:val="tx1"/>
                  </w14:solidFill>
                </w14:textFill>
              </w:rPr>
              <w:t>（国教）</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机制、视觉传达等国际合作项目一</w:t>
            </w:r>
            <w:r>
              <w:rPr>
                <w:rFonts w:hint="eastAsia" w:ascii="Times New Roman" w:hAnsi="Times New Roman" w:cs="Times New Roman"/>
                <w:color w:val="000000" w:themeColor="text1"/>
                <w:sz w:val="21"/>
                <w:szCs w:val="21"/>
                <w14:textFill>
                  <w14:solidFill>
                    <w14:schemeClr w14:val="tx1"/>
                  </w14:solidFill>
                </w14:textFill>
              </w:rPr>
              <w:t>年级本科生第</w:t>
            </w:r>
            <w:r>
              <w:rPr>
                <w:rFonts w:hint="eastAsia" w:ascii="Times New Roman" w:hAnsi="Times New Roman" w:cs="Times New Roman"/>
                <w:color w:val="000000" w:themeColor="text1"/>
                <w:sz w:val="21"/>
                <w:szCs w:val="21"/>
                <w:lang w:val="en-US" w:eastAsia="zh-CN"/>
                <w14:textFill>
                  <w14:solidFill>
                    <w14:schemeClr w14:val="tx1"/>
                  </w14:solidFill>
                </w14:textFill>
              </w:rPr>
              <w:t>一</w:t>
            </w:r>
            <w:r>
              <w:rPr>
                <w:rFonts w:hint="eastAsia" w:ascii="Times New Roman" w:hAnsi="Times New Roman" w:cs="Times New Roman"/>
                <w:color w:val="000000" w:themeColor="text1"/>
                <w:sz w:val="21"/>
                <w:szCs w:val="21"/>
                <w14:textFill>
                  <w14:solidFill>
                    <w14:schemeClr w14:val="tx1"/>
                  </w14:solidFill>
                </w14:textFill>
              </w:rPr>
              <w:t>学期学习，要求学生应具备</w:t>
            </w:r>
            <w:r>
              <w:rPr>
                <w:rFonts w:hint="eastAsia" w:ascii="Times New Roman" w:hAnsi="Times New Roman" w:cs="Times New Roman"/>
                <w:color w:val="000000" w:themeColor="text1"/>
                <w:sz w:val="21"/>
                <w:szCs w:val="21"/>
                <w:lang w:val="en-US" w:eastAsia="zh-CN"/>
                <w14:textFill>
                  <w14:solidFill>
                    <w14:schemeClr w14:val="tx1"/>
                  </w14:solidFill>
                </w14:textFill>
              </w:rPr>
              <w:t>与雅思5-5.5分</w:t>
            </w:r>
            <w:r>
              <w:rPr>
                <w:rFonts w:hint="eastAsia" w:ascii="Times New Roman" w:hAnsi="Times New Roman" w:cs="Times New Roman"/>
                <w:color w:val="000000" w:themeColor="text1"/>
                <w:sz w:val="21"/>
                <w:szCs w:val="21"/>
                <w14:textFill>
                  <w14:solidFill>
                    <w14:schemeClr w14:val="tx1"/>
                  </w14:solidFill>
                </w14:textFill>
              </w:rPr>
              <w:t>对应的</w:t>
            </w:r>
            <w:r>
              <w:rPr>
                <w:rFonts w:hint="eastAsia" w:ascii="Times New Roman" w:hAnsi="Times New Roman" w:cs="Times New Roman"/>
                <w:color w:val="000000" w:themeColor="text1"/>
                <w:sz w:val="21"/>
                <w:szCs w:val="21"/>
                <w:lang w:val="en-US" w:eastAsia="zh-CN"/>
                <w14:textFill>
                  <w14:solidFill>
                    <w14:schemeClr w14:val="tx1"/>
                  </w14:solidFill>
                </w14:textFill>
              </w:rPr>
              <w:t>阅读与写作</w:t>
            </w:r>
            <w:r>
              <w:rPr>
                <w:rFonts w:hint="eastAsia" w:ascii="Times New Roman" w:hAnsi="Times New Roman" w:cs="Times New Roman"/>
                <w:color w:val="000000" w:themeColor="text1"/>
                <w:sz w:val="21"/>
                <w:szCs w:val="21"/>
                <w14:textFill>
                  <w14:solidFill>
                    <w14:schemeClr w14:val="tx1"/>
                  </w14:solidFill>
                </w14:textFill>
              </w:rPr>
              <w:t>等技能，同时具备一定的自主学习能力和跨文化交流能力。</w:t>
            </w:r>
          </w:p>
        </w:tc>
      </w:tr>
      <w:tr w14:paraId="0443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7" w:hRule="atLeast"/>
        </w:trPr>
        <w:tc>
          <w:tcPr>
            <w:tcW w:w="1731" w:type="dxa"/>
            <w:tcBorders>
              <w:top w:val="double" w:color="auto" w:sz="4" w:space="0"/>
              <w:left w:val="single" w:color="auto" w:sz="12" w:space="0"/>
            </w:tcBorders>
            <w:shd w:val="clear" w:color="auto" w:fill="auto"/>
            <w:vAlign w:val="center"/>
          </w:tcPr>
          <w:p w14:paraId="48B515A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618" w:type="dxa"/>
            <w:gridSpan w:val="2"/>
            <w:tcBorders>
              <w:top w:val="double" w:color="auto" w:sz="4" w:space="0"/>
            </w:tcBorders>
            <w:vAlign w:val="center"/>
          </w:tcPr>
          <w:p w14:paraId="761977C5">
            <w:pPr>
              <w:widowControl w:val="0"/>
              <w:jc w:val="center"/>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988695" cy="358775"/>
                  <wp:effectExtent l="0" t="0" r="1905" b="9525"/>
                  <wp:docPr id="3" name="图片 3" descr="电子签-王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电子签-王梦"/>
                          <pic:cNvPicPr>
                            <a:picLocks noChangeAspect="1"/>
                          </pic:cNvPicPr>
                        </pic:nvPicPr>
                        <pic:blipFill>
                          <a:blip r:embed="rId6"/>
                          <a:stretch>
                            <a:fillRect/>
                          </a:stretch>
                        </pic:blipFill>
                        <pic:spPr>
                          <a:xfrm>
                            <a:off x="0" y="0"/>
                            <a:ext cx="988695" cy="358775"/>
                          </a:xfrm>
                          <a:prstGeom prst="rect">
                            <a:avLst/>
                          </a:prstGeom>
                        </pic:spPr>
                      </pic:pic>
                    </a:graphicData>
                  </a:graphic>
                </wp:inline>
              </w:drawing>
            </w:r>
            <w:r>
              <w:rPr>
                <w:rFonts w:hint="eastAsia"/>
                <w:sz w:val="21"/>
                <w:szCs w:val="21"/>
              </w:rPr>
              <w:t xml:space="preserve">           （签名）</w:t>
            </w:r>
          </w:p>
        </w:tc>
        <w:tc>
          <w:tcPr>
            <w:tcW w:w="1460" w:type="dxa"/>
            <w:gridSpan w:val="2"/>
            <w:tcBorders>
              <w:top w:val="double" w:color="auto" w:sz="4" w:space="0"/>
            </w:tcBorders>
            <w:vAlign w:val="center"/>
          </w:tcPr>
          <w:p w14:paraId="73B1842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67" w:type="dxa"/>
            <w:gridSpan w:val="2"/>
            <w:tcBorders>
              <w:top w:val="double" w:color="auto" w:sz="4" w:space="0"/>
              <w:right w:val="single" w:color="auto" w:sz="12" w:space="0"/>
            </w:tcBorders>
            <w:vAlign w:val="center"/>
          </w:tcPr>
          <w:p w14:paraId="5FA4C021">
            <w:pPr>
              <w:widowControl w:val="0"/>
              <w:jc w:val="center"/>
              <w:rPr>
                <w:rFonts w:ascii="Times New Roman" w:hAnsi="Times New Roman"/>
                <w:color w:val="000000"/>
                <w:sz w:val="21"/>
                <w:szCs w:val="21"/>
              </w:rPr>
            </w:pPr>
            <w:r>
              <w:rPr>
                <w:rFonts w:hint="eastAsia" w:ascii="Times New Roman" w:hAnsi="Times New Roman"/>
                <w:color w:val="000000"/>
                <w:sz w:val="21"/>
                <w:szCs w:val="21"/>
                <w:highlight w:val="none"/>
              </w:rPr>
              <w:t>20</w:t>
            </w:r>
            <w:r>
              <w:rPr>
                <w:rFonts w:hint="eastAsia" w:ascii="Times New Roman" w:hAnsi="Times New Roman"/>
                <w:color w:val="000000"/>
                <w:sz w:val="21"/>
                <w:szCs w:val="21"/>
                <w:highlight w:val="none"/>
                <w:lang w:val="en-US" w:eastAsia="zh-CN"/>
              </w:rPr>
              <w:t>25年9月</w:t>
            </w:r>
          </w:p>
        </w:tc>
      </w:tr>
      <w:tr w14:paraId="2EC6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731" w:type="dxa"/>
            <w:tcBorders>
              <w:left w:val="single" w:color="auto" w:sz="12" w:space="0"/>
            </w:tcBorders>
            <w:shd w:val="clear" w:color="auto" w:fill="auto"/>
            <w:vAlign w:val="center"/>
          </w:tcPr>
          <w:p w14:paraId="71C6421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618" w:type="dxa"/>
            <w:gridSpan w:val="2"/>
            <w:vAlign w:val="center"/>
          </w:tcPr>
          <w:p w14:paraId="684B00E8">
            <w:pPr>
              <w:widowControl w:val="0"/>
              <w:jc w:val="both"/>
              <w:rPr>
                <w:rFonts w:ascii="黑体" w:hAnsi="黑体" w:eastAsia="黑体"/>
                <w:color w:val="000000" w:themeColor="text1"/>
                <w:sz w:val="21"/>
                <w:szCs w:val="21"/>
                <w14:textFill>
                  <w14:solidFill>
                    <w14:schemeClr w14:val="tx1"/>
                  </w14:solidFill>
                </w14:textFill>
              </w:rPr>
            </w:pPr>
            <w:r>
              <w:rPr>
                <w:rFonts w:hint="eastAsia"/>
                <w:sz w:val="21"/>
                <w:szCs w:val="21"/>
                <w:lang w:val="en-US" w:eastAsia="zh-CN"/>
              </w:rPr>
              <w:t xml:space="preserve"> </w:t>
            </w:r>
            <w:r>
              <w:rPr>
                <w:rFonts w:hint="eastAsia"/>
                <w:sz w:val="21"/>
                <w:szCs w:val="21"/>
                <w:lang w:val="en-US" w:eastAsia="zh-CN"/>
              </w:rPr>
              <w:drawing>
                <wp:inline distT="0" distB="0" distL="114300" distR="114300">
                  <wp:extent cx="463550" cy="1101725"/>
                  <wp:effectExtent l="0" t="0" r="3175" b="6350"/>
                  <wp:docPr id="4" name="图片 4" descr="张丽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张丽娟"/>
                          <pic:cNvPicPr>
                            <a:picLocks noChangeAspect="1"/>
                          </pic:cNvPicPr>
                        </pic:nvPicPr>
                        <pic:blipFill>
                          <a:blip r:embed="rId7"/>
                          <a:stretch>
                            <a:fillRect/>
                          </a:stretch>
                        </pic:blipFill>
                        <pic:spPr>
                          <a:xfrm rot="16200000">
                            <a:off x="0" y="0"/>
                            <a:ext cx="463550" cy="1101725"/>
                          </a:xfrm>
                          <a:prstGeom prst="rect">
                            <a:avLst/>
                          </a:prstGeom>
                        </pic:spPr>
                      </pic:pic>
                    </a:graphicData>
                  </a:graphic>
                </wp:inline>
              </w:drawing>
            </w:r>
            <w:r>
              <w:rPr>
                <w:rFonts w:hint="eastAsia"/>
                <w:sz w:val="21"/>
                <w:szCs w:val="21"/>
                <w:lang w:val="en-US" w:eastAsia="zh-CN"/>
              </w:rPr>
              <w:t xml:space="preserve">         </w:t>
            </w:r>
            <w:r>
              <w:rPr>
                <w:rFonts w:hint="eastAsia"/>
                <w:sz w:val="21"/>
                <w:szCs w:val="21"/>
              </w:rPr>
              <w:t>（签名）</w:t>
            </w:r>
          </w:p>
        </w:tc>
        <w:tc>
          <w:tcPr>
            <w:tcW w:w="1460" w:type="dxa"/>
            <w:gridSpan w:val="2"/>
            <w:vAlign w:val="center"/>
          </w:tcPr>
          <w:p w14:paraId="4F33D3A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67" w:type="dxa"/>
            <w:gridSpan w:val="2"/>
            <w:tcBorders>
              <w:right w:val="single" w:color="auto" w:sz="12" w:space="0"/>
            </w:tcBorders>
            <w:vAlign w:val="center"/>
          </w:tcPr>
          <w:p w14:paraId="0B734E84">
            <w:pPr>
              <w:widowControl w:val="0"/>
              <w:jc w:val="center"/>
              <w:rPr>
                <w:rFonts w:ascii="Times New Roman" w:hAnsi="Times New Roman"/>
                <w:color w:val="000000"/>
                <w:sz w:val="21"/>
                <w:szCs w:val="21"/>
              </w:rPr>
            </w:pPr>
            <w:r>
              <w:rPr>
                <w:rFonts w:hint="eastAsia" w:ascii="Times New Roman" w:hAnsi="Times New Roman"/>
                <w:color w:val="000000"/>
                <w:sz w:val="21"/>
                <w:szCs w:val="21"/>
                <w:highlight w:val="none"/>
              </w:rPr>
              <w:t>20</w:t>
            </w:r>
            <w:r>
              <w:rPr>
                <w:rFonts w:hint="eastAsia" w:ascii="Times New Roman" w:hAnsi="Times New Roman"/>
                <w:color w:val="000000"/>
                <w:sz w:val="21"/>
                <w:szCs w:val="21"/>
                <w:highlight w:val="none"/>
                <w:lang w:val="en-US" w:eastAsia="zh-CN"/>
              </w:rPr>
              <w:t>25年9月</w:t>
            </w:r>
          </w:p>
        </w:tc>
      </w:tr>
      <w:tr w14:paraId="18A4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731" w:type="dxa"/>
            <w:tcBorders>
              <w:left w:val="single" w:color="auto" w:sz="12" w:space="0"/>
              <w:bottom w:val="single" w:color="auto" w:sz="12" w:space="0"/>
            </w:tcBorders>
            <w:shd w:val="clear" w:color="auto" w:fill="auto"/>
            <w:vAlign w:val="center"/>
          </w:tcPr>
          <w:p w14:paraId="6166120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618" w:type="dxa"/>
            <w:gridSpan w:val="2"/>
            <w:tcBorders>
              <w:bottom w:val="single" w:color="auto" w:sz="12" w:space="0"/>
            </w:tcBorders>
            <w:vAlign w:val="center"/>
          </w:tcPr>
          <w:p w14:paraId="02431813">
            <w:pPr>
              <w:widowControl w:val="0"/>
              <w:jc w:val="both"/>
              <w:rPr>
                <w:rFonts w:ascii="黑体" w:hAnsi="黑体" w:eastAsia="黑体"/>
                <w:color w:val="000000" w:themeColor="text1"/>
                <w:sz w:val="21"/>
                <w:szCs w:val="21"/>
                <w14:textFill>
                  <w14:solidFill>
                    <w14:schemeClr w14:val="tx1"/>
                  </w14:solidFill>
                </w14:textFill>
              </w:rPr>
            </w:pPr>
            <w:r>
              <w:rPr>
                <w:rFonts w:hint="eastAsia"/>
                <w:sz w:val="21"/>
                <w:szCs w:val="21"/>
                <w:lang w:val="en-US" w:eastAsia="zh-CN"/>
              </w:rPr>
              <w:t xml:space="preserve">  </w:t>
            </w:r>
            <w:r>
              <w:rPr>
                <w:rFonts w:hint="eastAsia"/>
                <w:sz w:val="21"/>
                <w:szCs w:val="21"/>
                <w:lang w:val="en-US" w:eastAsia="zh-CN"/>
              </w:rPr>
              <w:drawing>
                <wp:inline distT="0" distB="0" distL="114300" distR="114300">
                  <wp:extent cx="1074420" cy="457835"/>
                  <wp:effectExtent l="0" t="0" r="5080" b="12065"/>
                  <wp:docPr id="5" name="图片 5" descr="2067eb84b7a39072a38188235b5c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67eb84b7a39072a38188235b5c7d0"/>
                          <pic:cNvPicPr>
                            <a:picLocks noChangeAspect="1"/>
                          </pic:cNvPicPr>
                        </pic:nvPicPr>
                        <pic:blipFill>
                          <a:blip r:embed="rId8"/>
                          <a:stretch>
                            <a:fillRect/>
                          </a:stretch>
                        </pic:blipFill>
                        <pic:spPr>
                          <a:xfrm>
                            <a:off x="0" y="0"/>
                            <a:ext cx="1074420" cy="457835"/>
                          </a:xfrm>
                          <a:prstGeom prst="rect">
                            <a:avLst/>
                          </a:prstGeom>
                        </pic:spPr>
                      </pic:pic>
                    </a:graphicData>
                  </a:graphic>
                </wp:inline>
              </w:drawing>
            </w:r>
            <w:r>
              <w:rPr>
                <w:rFonts w:hint="eastAsia"/>
                <w:sz w:val="21"/>
                <w:szCs w:val="21"/>
                <w:lang w:val="en-US" w:eastAsia="zh-CN"/>
              </w:rPr>
              <w:t xml:space="preserve">       </w:t>
            </w:r>
            <w:r>
              <w:rPr>
                <w:rFonts w:hint="eastAsia"/>
                <w:sz w:val="21"/>
                <w:szCs w:val="21"/>
              </w:rPr>
              <w:t>（签名）</w:t>
            </w:r>
          </w:p>
        </w:tc>
        <w:tc>
          <w:tcPr>
            <w:tcW w:w="1460" w:type="dxa"/>
            <w:gridSpan w:val="2"/>
            <w:tcBorders>
              <w:bottom w:val="single" w:color="auto" w:sz="12" w:space="0"/>
            </w:tcBorders>
            <w:vAlign w:val="center"/>
          </w:tcPr>
          <w:p w14:paraId="41205FB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67" w:type="dxa"/>
            <w:gridSpan w:val="2"/>
            <w:tcBorders>
              <w:bottom w:val="single" w:color="auto" w:sz="12" w:space="0"/>
              <w:right w:val="single" w:color="auto" w:sz="12" w:space="0"/>
            </w:tcBorders>
            <w:vAlign w:val="center"/>
          </w:tcPr>
          <w:p w14:paraId="43A7C6AF">
            <w:pPr>
              <w:widowControl w:val="0"/>
              <w:jc w:val="center"/>
              <w:rPr>
                <w:rFonts w:ascii="Times New Roman" w:hAnsi="Times New Roman"/>
                <w:color w:val="000000"/>
                <w:sz w:val="21"/>
                <w:szCs w:val="21"/>
              </w:rPr>
            </w:pPr>
            <w:r>
              <w:rPr>
                <w:rFonts w:hint="eastAsia" w:ascii="Times New Roman" w:hAnsi="Times New Roman"/>
                <w:color w:val="000000"/>
                <w:sz w:val="21"/>
                <w:szCs w:val="21"/>
                <w:highlight w:val="none"/>
              </w:rPr>
              <w:t>20</w:t>
            </w:r>
            <w:r>
              <w:rPr>
                <w:rFonts w:hint="eastAsia" w:ascii="Times New Roman" w:hAnsi="Times New Roman"/>
                <w:color w:val="000000"/>
                <w:sz w:val="21"/>
                <w:szCs w:val="21"/>
                <w:highlight w:val="none"/>
                <w:lang w:val="en-US" w:eastAsia="zh-CN"/>
              </w:rPr>
              <w:t>25年9月</w:t>
            </w:r>
          </w:p>
        </w:tc>
      </w:tr>
    </w:tbl>
    <w:p w14:paraId="219D8C68">
      <w:pPr>
        <w:rPr>
          <w:rFonts w:ascii="Arial" w:hAnsi="Arial" w:eastAsia="黑体"/>
        </w:rPr>
      </w:pPr>
      <w:r>
        <w:rPr>
          <w:rFonts w:hint="eastAsia" w:ascii="黑体" w:hAnsi="黑体" w:eastAsia="黑体" w:cs="黑体"/>
          <w:sz w:val="28"/>
          <w:szCs w:val="28"/>
        </w:rPr>
        <w:t>二、课程目标与毕业要求</w:t>
      </w:r>
    </w:p>
    <w:p w14:paraId="7CDFBE1B">
      <w:pPr>
        <w:pStyle w:val="23"/>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4FF2A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48" w:hRule="atLeast"/>
          <w:jc w:val="center"/>
        </w:trPr>
        <w:tc>
          <w:tcPr>
            <w:tcW w:w="1236" w:type="dxa"/>
            <w:vAlign w:val="center"/>
          </w:tcPr>
          <w:p w14:paraId="75AAAB2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ECF1BDF">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36ECC1C3">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4D5D4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36" w:hRule="atLeast"/>
          <w:jc w:val="center"/>
        </w:trPr>
        <w:tc>
          <w:tcPr>
            <w:tcW w:w="1236" w:type="dxa"/>
            <w:vAlign w:val="center"/>
          </w:tcPr>
          <w:p w14:paraId="1516C958">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2B50F73F">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8" w:type="dxa"/>
            <w:vAlign w:val="center"/>
          </w:tcPr>
          <w:p w14:paraId="2D291C7F">
            <w:pPr>
              <w:pStyle w:val="20"/>
              <w:rPr>
                <w:rFonts w:asciiTheme="minorEastAsia" w:hAnsiTheme="minorEastAsia" w:eastAsiaTheme="minorEastAsia"/>
                <w:sz w:val="21"/>
                <w:szCs w:val="21"/>
              </w:rPr>
            </w:pPr>
            <w:r>
              <w:rPr>
                <w:rFonts w:hint="eastAsia" w:asciiTheme="minorEastAsia" w:hAnsiTheme="minorEastAsia" w:eastAsiaTheme="minorEastAsia"/>
                <w:sz w:val="21"/>
                <w:szCs w:val="21"/>
              </w:rPr>
              <w:t>掌握本课程教材所涉及到的</w:t>
            </w:r>
            <w:r>
              <w:rPr>
                <w:rFonts w:hint="eastAsia" w:asciiTheme="minorEastAsia" w:hAnsiTheme="minorEastAsia" w:eastAsiaTheme="minorEastAsia"/>
                <w:sz w:val="21"/>
                <w:szCs w:val="21"/>
                <w:lang w:val="en-US" w:eastAsia="zh-CN"/>
              </w:rPr>
              <w:t>雅思阅读与写作</w:t>
            </w:r>
            <w:r>
              <w:rPr>
                <w:rFonts w:hint="eastAsia" w:asciiTheme="minorEastAsia" w:hAnsiTheme="minorEastAsia" w:eastAsiaTheme="minorEastAsia"/>
                <w:sz w:val="21"/>
                <w:szCs w:val="21"/>
              </w:rPr>
              <w:t>词汇与语法句法知识，并能有效运用。</w:t>
            </w:r>
          </w:p>
        </w:tc>
      </w:tr>
      <w:tr w14:paraId="696E6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2025" w:hRule="atLeast"/>
          <w:jc w:val="center"/>
        </w:trPr>
        <w:tc>
          <w:tcPr>
            <w:tcW w:w="1236" w:type="dxa"/>
            <w:vMerge w:val="restart"/>
            <w:vAlign w:val="center"/>
          </w:tcPr>
          <w:p w14:paraId="42D3E30C">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61B9A5D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8" w:type="dxa"/>
            <w:vAlign w:val="center"/>
          </w:tcPr>
          <w:p w14:paraId="01AD8374">
            <w:pPr>
              <w:pStyle w:val="20"/>
              <w:rPr>
                <w:rFonts w:asciiTheme="minorEastAsia" w:hAnsiTheme="minorEastAsia" w:eastAsiaTheme="minorEastAsia"/>
                <w:sz w:val="21"/>
                <w:szCs w:val="21"/>
              </w:rPr>
            </w:pPr>
            <w:r>
              <w:rPr>
                <w:rFonts w:hint="eastAsia" w:asciiTheme="minorEastAsia" w:hAnsiTheme="minorEastAsia" w:eastAsiaTheme="minorEastAsia"/>
                <w:b/>
                <w:sz w:val="21"/>
                <w:szCs w:val="21"/>
              </w:rPr>
              <w:t>阅读理解能力：</w:t>
            </w:r>
            <w:r>
              <w:rPr>
                <w:rFonts w:hint="eastAsia" w:asciiTheme="minorEastAsia" w:hAnsiTheme="minorEastAsia" w:eastAsiaTheme="minorEastAsia"/>
                <w:sz w:val="21"/>
                <w:szCs w:val="21"/>
              </w:rPr>
              <w:t>能基本读懂一般性题材的英文文章，阅读速度达到每分钟</w:t>
            </w:r>
            <w:r>
              <w:rPr>
                <w:rFonts w:hint="eastAsia" w:asciiTheme="minorEastAsia" w:hAnsiTheme="minorEastAsia" w:eastAsiaTheme="minorEastAsia"/>
                <w:sz w:val="21"/>
                <w:szCs w:val="21"/>
                <w:lang w:val="en-US" w:eastAsia="zh-CN"/>
              </w:rPr>
              <w:t>130到150</w:t>
            </w:r>
            <w:r>
              <w:rPr>
                <w:rFonts w:hint="eastAsia" w:asciiTheme="minorEastAsia" w:hAnsiTheme="minorEastAsia" w:eastAsiaTheme="minorEastAsia"/>
                <w:sz w:val="21"/>
                <w:szCs w:val="21"/>
              </w:rPr>
              <w:t>词。在快速阅读篇幅较长、难度略低的材料时，</w:t>
            </w:r>
            <w:r>
              <w:rPr>
                <w:rFonts w:hint="eastAsia" w:asciiTheme="minorEastAsia" w:hAnsiTheme="minorEastAsia" w:eastAsiaTheme="minorEastAsia"/>
                <w:sz w:val="21"/>
                <w:szCs w:val="21"/>
                <w:lang w:val="en-US" w:eastAsia="zh-CN"/>
              </w:rPr>
              <w:t>快速</w:t>
            </w:r>
            <w:r>
              <w:rPr>
                <w:rFonts w:hint="eastAsia" w:asciiTheme="minorEastAsia" w:hAnsiTheme="minorEastAsia" w:eastAsiaTheme="minorEastAsia"/>
                <w:sz w:val="21"/>
                <w:szCs w:val="21"/>
              </w:rPr>
              <w:t>阅读达到每分钟</w:t>
            </w:r>
            <w:r>
              <w:rPr>
                <w:rFonts w:hint="eastAsia" w:asciiTheme="minorEastAsia" w:hAnsiTheme="minorEastAsia" w:eastAsiaTheme="minorEastAsia"/>
                <w:sz w:val="21"/>
                <w:szCs w:val="21"/>
                <w:lang w:val="en-US" w:eastAsia="zh-CN"/>
              </w:rPr>
              <w:t>160</w:t>
            </w:r>
            <w:r>
              <w:rPr>
                <w:rFonts w:hint="eastAsia" w:asciiTheme="minorEastAsia" w:hAnsiTheme="minorEastAsia" w:eastAsiaTheme="minorEastAsia"/>
                <w:sz w:val="21"/>
                <w:szCs w:val="21"/>
              </w:rPr>
              <w:t>词。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r>
      <w:tr w14:paraId="0EAB2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0A6EC47D">
            <w:pPr>
              <w:pStyle w:val="20"/>
            </w:pPr>
          </w:p>
        </w:tc>
        <w:tc>
          <w:tcPr>
            <w:tcW w:w="782" w:type="dxa"/>
            <w:shd w:val="clear" w:color="auto" w:fill="auto"/>
            <w:vAlign w:val="center"/>
          </w:tcPr>
          <w:p w14:paraId="27ECB81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8" w:type="dxa"/>
            <w:vAlign w:val="center"/>
          </w:tcPr>
          <w:p w14:paraId="5A779D28">
            <w:pPr>
              <w:pStyle w:val="20"/>
              <w:rPr>
                <w:rFonts w:asciiTheme="minorEastAsia" w:hAnsiTheme="minorEastAsia" w:eastAsiaTheme="minorEastAsia"/>
                <w:sz w:val="21"/>
                <w:szCs w:val="21"/>
              </w:rPr>
            </w:pPr>
            <w:r>
              <w:rPr>
                <w:rFonts w:hint="eastAsia" w:asciiTheme="minorEastAsia" w:hAnsiTheme="minorEastAsia" w:eastAsiaTheme="minorEastAsia"/>
                <w:b/>
                <w:sz w:val="21"/>
                <w:szCs w:val="21"/>
              </w:rPr>
              <w:t>写作能力：</w:t>
            </w:r>
            <w:r>
              <w:rPr>
                <w:rFonts w:hint="eastAsia" w:asciiTheme="minorEastAsia" w:hAnsiTheme="minorEastAsia" w:eastAsiaTheme="minorEastAsia"/>
                <w:sz w:val="21"/>
                <w:szCs w:val="21"/>
              </w:rPr>
              <w:t>能完成一般性写作任务，能描述个人经历、观感、情感和发生的事件等，能写常见的应用文，</w:t>
            </w:r>
            <w:r>
              <w:rPr>
                <w:rFonts w:hint="eastAsia" w:asciiTheme="minorEastAsia" w:hAnsiTheme="minorEastAsia" w:eastAsiaTheme="minorEastAsia"/>
                <w:sz w:val="21"/>
                <w:szCs w:val="21"/>
                <w:lang w:val="en-US" w:eastAsia="zh-CN"/>
              </w:rPr>
              <w:t>比如雅思中常见的数据类写作任务，</w:t>
            </w:r>
            <w:r>
              <w:rPr>
                <w:rFonts w:hint="eastAsia" w:asciiTheme="minorEastAsia" w:hAnsiTheme="minorEastAsia" w:eastAsiaTheme="minorEastAsia"/>
                <w:sz w:val="21"/>
                <w:szCs w:val="21"/>
              </w:rPr>
              <w:t>能在</w:t>
            </w:r>
            <w:r>
              <w:rPr>
                <w:rFonts w:hint="eastAsia" w:asciiTheme="minorEastAsia" w:hAnsiTheme="minorEastAsia" w:eastAsiaTheme="minorEastAsia"/>
                <w:sz w:val="21"/>
                <w:szCs w:val="21"/>
                <w:lang w:val="en-US" w:eastAsia="zh-CN"/>
              </w:rPr>
              <w:t>20分钟</w:t>
            </w:r>
            <w:r>
              <w:rPr>
                <w:rFonts w:hint="eastAsia" w:asciiTheme="minorEastAsia" w:hAnsiTheme="minorEastAsia" w:eastAsiaTheme="minorEastAsia"/>
                <w:sz w:val="21"/>
                <w:szCs w:val="21"/>
              </w:rPr>
              <w:t>内就一般性话题或提纲写出不少于</w:t>
            </w:r>
            <w:r>
              <w:rPr>
                <w:rFonts w:hint="eastAsia" w:asciiTheme="minorEastAsia" w:hAnsiTheme="minorEastAsia" w:eastAsiaTheme="minorEastAsia"/>
                <w:sz w:val="21"/>
                <w:szCs w:val="21"/>
                <w:lang w:val="en-US" w:eastAsia="zh-CN"/>
              </w:rPr>
              <w:t>15</w:t>
            </w:r>
            <w:r>
              <w:rPr>
                <w:rFonts w:hint="eastAsia" w:asciiTheme="minorEastAsia" w:hAnsiTheme="minorEastAsia" w:eastAsiaTheme="minorEastAsia"/>
                <w:sz w:val="21"/>
                <w:szCs w:val="21"/>
              </w:rPr>
              <w:t>0词的短文，内容基本完整，中心思想明确，用词恰当，语意连贯，能掌握基本的写作技能。</w:t>
            </w:r>
          </w:p>
        </w:tc>
      </w:tr>
      <w:tr w14:paraId="56599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544C6FBB">
            <w:pPr>
              <w:pStyle w:val="20"/>
            </w:pPr>
          </w:p>
        </w:tc>
        <w:tc>
          <w:tcPr>
            <w:tcW w:w="782" w:type="dxa"/>
            <w:shd w:val="clear" w:color="auto" w:fill="auto"/>
            <w:vAlign w:val="center"/>
          </w:tcPr>
          <w:p w14:paraId="6DC62AC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8" w:type="dxa"/>
            <w:vAlign w:val="center"/>
          </w:tcPr>
          <w:p w14:paraId="1FEADF0B">
            <w:pPr>
              <w:pStyle w:val="20"/>
              <w:rPr>
                <w:rFonts w:asciiTheme="minorEastAsia" w:hAnsiTheme="minorEastAsia" w:eastAsiaTheme="minorEastAsia"/>
                <w:sz w:val="21"/>
                <w:szCs w:val="21"/>
              </w:rPr>
            </w:pPr>
            <w:r>
              <w:rPr>
                <w:rFonts w:hint="eastAsia" w:asciiTheme="minorEastAsia" w:hAnsiTheme="minorEastAsia" w:eastAsiaTheme="minorEastAsia"/>
                <w:b/>
                <w:sz w:val="21"/>
                <w:szCs w:val="21"/>
                <w:lang w:val="en-US" w:eastAsia="zh-CN"/>
              </w:rPr>
              <w:t>交际</w:t>
            </w:r>
            <w:r>
              <w:rPr>
                <w:rFonts w:hint="eastAsia" w:asciiTheme="minorEastAsia" w:hAnsiTheme="minorEastAsia" w:eastAsiaTheme="minorEastAsia"/>
                <w:b/>
                <w:sz w:val="21"/>
                <w:szCs w:val="21"/>
              </w:rPr>
              <w:t>能力：</w:t>
            </w:r>
            <w:r>
              <w:rPr>
                <w:rFonts w:hint="eastAsia" w:asciiTheme="minorEastAsia" w:hAnsiTheme="minorEastAsia" w:eastAsiaTheme="minorEastAsia"/>
                <w:sz w:val="21"/>
                <w:szCs w:val="21"/>
              </w:rPr>
              <w:t>能</w:t>
            </w:r>
            <w:r>
              <w:rPr>
                <w:rFonts w:hint="eastAsia" w:asciiTheme="minorEastAsia" w:hAnsiTheme="minorEastAsia" w:eastAsiaTheme="minorEastAsia"/>
                <w:sz w:val="21"/>
                <w:szCs w:val="21"/>
                <w:lang w:val="en-US" w:eastAsia="zh-CN"/>
              </w:rPr>
              <w:t>借助阅读材料或者写作题目要求，进行基本的观点表达，</w:t>
            </w:r>
            <w:r>
              <w:rPr>
                <w:rFonts w:hint="eastAsia" w:asciiTheme="minorEastAsia" w:hAnsiTheme="minorEastAsia" w:eastAsiaTheme="minorEastAsia"/>
                <w:sz w:val="21"/>
                <w:szCs w:val="21"/>
              </w:rPr>
              <w:t>无重大的理解和语言表达错误。</w:t>
            </w:r>
          </w:p>
        </w:tc>
      </w:tr>
      <w:tr w14:paraId="5C196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Align w:val="center"/>
          </w:tcPr>
          <w:p w14:paraId="08F1CEB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3745F0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D0401D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8" w:type="dxa"/>
            <w:vAlign w:val="center"/>
          </w:tcPr>
          <w:p w14:paraId="7AB9BD38">
            <w:pPr>
              <w:pStyle w:val="20"/>
              <w:rPr>
                <w:rFonts w:asciiTheme="minorEastAsia" w:hAnsiTheme="minorEastAsia" w:eastAsiaTheme="minorEastAsia"/>
                <w:sz w:val="21"/>
                <w:szCs w:val="21"/>
              </w:rPr>
            </w:pPr>
            <w:r>
              <w:rPr>
                <w:rFonts w:hint="eastAsia" w:asciiTheme="minorEastAsia" w:hAnsiTheme="minorEastAsia" w:eastAsiaTheme="minorEastAsia"/>
                <w:sz w:val="21"/>
                <w:szCs w:val="21"/>
              </w:rPr>
              <w:t>加深学生对不同文化的理解，增强文化自信和人文素养，弘扬社会主义核心价值观，树立家国情怀。</w:t>
            </w:r>
          </w:p>
        </w:tc>
      </w:tr>
    </w:tbl>
    <w:p w14:paraId="267EF232">
      <w:pPr>
        <w:pStyle w:val="23"/>
        <w:spacing w:before="163" w:beforeLines="50" w:after="163"/>
      </w:pPr>
      <w:r>
        <w:rPr>
          <w:rFonts w:hint="eastAsia"/>
        </w:rPr>
        <w:t>（二）课程支撑的毕业要求</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6"/>
      </w:tblGrid>
      <w:tr w14:paraId="3EFCEC0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Mar>
              <w:top w:w="57" w:type="dxa"/>
              <w:left w:w="85" w:type="dxa"/>
              <w:bottom w:w="57" w:type="dxa"/>
              <w:right w:w="85" w:type="dxa"/>
            </w:tcMar>
          </w:tcPr>
          <w:p w14:paraId="51AA04EB">
            <w:pPr>
              <w:pStyle w:val="20"/>
              <w:rPr>
                <w:rFonts w:ascii="宋体" w:hAnsi="宋体" w:eastAsia="宋体"/>
                <w:sz w:val="21"/>
                <w:szCs w:val="21"/>
              </w:rPr>
            </w:pPr>
            <w:r>
              <w:rPr>
                <w:rFonts w:hint="eastAsia" w:ascii="宋体" w:hAnsi="宋体" w:eastAsia="宋体"/>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622667D">
            <w:pPr>
              <w:pStyle w:val="20"/>
              <w:rPr>
                <w:rFonts w:ascii="宋体" w:hAnsi="宋体" w:eastAsia="宋体"/>
                <w:sz w:val="21"/>
                <w:szCs w:val="21"/>
              </w:rPr>
            </w:pPr>
            <w:r>
              <w:rPr>
                <w:rFonts w:hint="eastAsia" w:ascii="宋体" w:hAnsi="宋体" w:eastAsia="宋体"/>
                <w:sz w:val="21"/>
                <w:szCs w:val="21"/>
              </w:rPr>
              <w:t>①爱党爱国，坚决拥护党的领导，热爱祖国的大好河山、悠久历史、灿烂文化，自觉维护民族利益和国家尊严。</w:t>
            </w:r>
          </w:p>
        </w:tc>
      </w:tr>
      <w:tr w14:paraId="4EF5E1C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Mar>
              <w:top w:w="57" w:type="dxa"/>
              <w:left w:w="85" w:type="dxa"/>
              <w:bottom w:w="57" w:type="dxa"/>
              <w:right w:w="85" w:type="dxa"/>
            </w:tcMar>
          </w:tcPr>
          <w:p w14:paraId="75067E50">
            <w:pPr>
              <w:pStyle w:val="20"/>
              <w:rPr>
                <w:rFonts w:ascii="宋体" w:hAnsi="宋体" w:eastAsia="宋体"/>
                <w:sz w:val="21"/>
                <w:szCs w:val="21"/>
              </w:rPr>
            </w:pPr>
            <w:r>
              <w:rPr>
                <w:rFonts w:hint="eastAsia" w:ascii="宋体" w:hAnsi="宋体" w:eastAsia="宋体"/>
                <w:sz w:val="21"/>
                <w:szCs w:val="21"/>
              </w:rPr>
              <w:t>LO3 表达沟通:理解他人的观点，尊重他人的价值观，能在不同场合用书面或口头形式进行有效沟通。</w:t>
            </w:r>
          </w:p>
          <w:p w14:paraId="1F14C519">
            <w:pPr>
              <w:pStyle w:val="20"/>
              <w:rPr>
                <w:rFonts w:ascii="宋体" w:hAnsi="宋体" w:eastAsia="宋体"/>
                <w:sz w:val="21"/>
                <w:szCs w:val="21"/>
              </w:rPr>
            </w:pPr>
            <w:r>
              <w:rPr>
                <w:rFonts w:hint="eastAsia" w:ascii="宋体" w:hAnsi="宋体" w:eastAsia="宋体"/>
                <w:sz w:val="21"/>
                <w:szCs w:val="21"/>
              </w:rPr>
              <w:t>②应用书面</w:t>
            </w:r>
            <w:r>
              <w:rPr>
                <w:rFonts w:hint="eastAsia" w:ascii="宋体" w:hAnsi="宋体" w:eastAsia="宋体"/>
                <w:sz w:val="21"/>
                <w:szCs w:val="21"/>
                <w:lang w:val="en-US" w:eastAsia="zh-CN"/>
              </w:rPr>
              <w:t>表达</w:t>
            </w:r>
            <w:r>
              <w:rPr>
                <w:rFonts w:hint="eastAsia" w:ascii="宋体" w:hAnsi="宋体" w:eastAsia="宋体"/>
                <w:sz w:val="21"/>
                <w:szCs w:val="21"/>
              </w:rPr>
              <w:t>，阐释自己的观点，有效沟通。</w:t>
            </w:r>
          </w:p>
        </w:tc>
      </w:tr>
      <w:tr w14:paraId="68A62B7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95" w:hRule="atLeast"/>
        </w:trPr>
        <w:tc>
          <w:tcPr>
            <w:tcW w:w="8296" w:type="dxa"/>
            <w:tcMar>
              <w:top w:w="57" w:type="dxa"/>
              <w:left w:w="85" w:type="dxa"/>
              <w:bottom w:w="57" w:type="dxa"/>
              <w:right w:w="85" w:type="dxa"/>
            </w:tcMar>
          </w:tcPr>
          <w:p w14:paraId="362BCDE0">
            <w:pPr>
              <w:pStyle w:val="20"/>
              <w:rPr>
                <w:rFonts w:ascii="宋体" w:hAnsi="宋体" w:eastAsia="宋体"/>
                <w:sz w:val="21"/>
                <w:szCs w:val="21"/>
              </w:rPr>
            </w:pPr>
            <w:r>
              <w:rPr>
                <w:rFonts w:hint="eastAsia" w:ascii="宋体" w:hAnsi="宋体" w:eastAsia="宋体"/>
                <w:sz w:val="21"/>
                <w:szCs w:val="21"/>
              </w:rPr>
              <w:t>LO4 自主学习:能根据环境需要确定自己的学习目标，并主动地通过搜集信息、分析信息、讨论、实践、质疑、创造等方法来实现学习目标。</w:t>
            </w:r>
          </w:p>
          <w:p w14:paraId="40B55A36">
            <w:pPr>
              <w:pStyle w:val="20"/>
              <w:rPr>
                <w:rFonts w:ascii="宋体" w:hAnsi="宋体" w:eastAsia="宋体"/>
                <w:sz w:val="21"/>
                <w:szCs w:val="21"/>
              </w:rPr>
            </w:pPr>
            <w:r>
              <w:rPr>
                <w:rFonts w:hint="eastAsia" w:ascii="宋体" w:hAnsi="宋体" w:eastAsia="宋体"/>
                <w:sz w:val="21"/>
                <w:szCs w:val="21"/>
              </w:rPr>
              <w:t>②能搜集、获取达到目标所需要的学习资源，实施学习计划、反思学习计划、持续改进，达到学习目标。</w:t>
            </w:r>
          </w:p>
        </w:tc>
      </w:tr>
      <w:tr w14:paraId="10BA604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Mar>
              <w:top w:w="57" w:type="dxa"/>
              <w:left w:w="85" w:type="dxa"/>
              <w:bottom w:w="57" w:type="dxa"/>
              <w:right w:w="85" w:type="dxa"/>
            </w:tcMar>
          </w:tcPr>
          <w:p w14:paraId="2D798971">
            <w:pPr>
              <w:pStyle w:val="20"/>
              <w:rPr>
                <w:rFonts w:ascii="宋体" w:hAnsi="宋体" w:eastAsia="宋体"/>
                <w:sz w:val="21"/>
                <w:szCs w:val="21"/>
              </w:rPr>
            </w:pPr>
            <w:r>
              <w:rPr>
                <w:rFonts w:hint="eastAsia" w:ascii="宋体" w:hAnsi="宋体" w:eastAsia="宋体"/>
                <w:sz w:val="21"/>
                <w:szCs w:val="21"/>
              </w:rPr>
              <w:t>LO8 国际视野:具有基本的外语表达沟通能力与跨文化理解能力，有国际竞争与合作的意识。</w:t>
            </w:r>
          </w:p>
          <w:p w14:paraId="54A335D9">
            <w:pPr>
              <w:pStyle w:val="20"/>
              <w:rPr>
                <w:rFonts w:ascii="宋体" w:hAnsi="宋体" w:eastAsia="宋体"/>
                <w:sz w:val="21"/>
                <w:szCs w:val="21"/>
              </w:rPr>
            </w:pPr>
            <w:r>
              <w:rPr>
                <w:rFonts w:hint="eastAsia" w:ascii="宋体" w:hAnsi="宋体" w:eastAsia="宋体"/>
                <w:sz w:val="21"/>
                <w:szCs w:val="21"/>
              </w:rPr>
              <w:t>②理解其他国家历史文化，有跨文化交流能力。</w:t>
            </w:r>
          </w:p>
        </w:tc>
      </w:tr>
    </w:tbl>
    <w:p w14:paraId="44EB6E0E">
      <w:pPr>
        <w:pStyle w:val="23"/>
        <w:spacing w:before="163" w:beforeLines="50" w:after="163"/>
      </w:pPr>
      <w:r>
        <w:rPr>
          <w:rFonts w:hint="eastAsia"/>
        </w:rPr>
        <w:t xml:space="preserve">（三）毕业要求与课程目标的关系 </w:t>
      </w:r>
    </w:p>
    <w:tbl>
      <w:tblPr>
        <w:tblStyle w:val="9"/>
        <w:tblW w:w="5000" w:type="pct"/>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57" w:type="dxa"/>
          <w:left w:w="85" w:type="dxa"/>
          <w:bottom w:w="57" w:type="dxa"/>
          <w:right w:w="85" w:type="dxa"/>
        </w:tblCellMar>
      </w:tblPr>
      <w:tblGrid>
        <w:gridCol w:w="697"/>
        <w:gridCol w:w="704"/>
        <w:gridCol w:w="651"/>
        <w:gridCol w:w="5177"/>
        <w:gridCol w:w="1247"/>
      </w:tblGrid>
      <w:tr w14:paraId="6BE50FC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57" w:type="dxa"/>
            <w:left w:w="85" w:type="dxa"/>
            <w:bottom w:w="57" w:type="dxa"/>
            <w:right w:w="85" w:type="dxa"/>
          </w:tblCellMar>
        </w:tblPrEx>
        <w:trPr>
          <w:trHeight w:val="642" w:hRule="atLeast"/>
          <w:jc w:val="center"/>
        </w:trPr>
        <w:tc>
          <w:tcPr>
            <w:tcW w:w="697" w:type="dxa"/>
            <w:tcBorders>
              <w:tl2br w:val="nil"/>
              <w:tr2bl w:val="nil"/>
            </w:tcBorders>
            <w:shd w:val="clear" w:color="auto" w:fill="auto"/>
            <w:vAlign w:val="center"/>
          </w:tcPr>
          <w:p w14:paraId="40F98091">
            <w:pPr>
              <w:pStyle w:val="19"/>
              <w:rPr>
                <w:szCs w:val="16"/>
              </w:rPr>
            </w:pPr>
            <w:r>
              <w:rPr>
                <w:rFonts w:hint="eastAsia" w:ascii="黑体" w:hAnsi="黑体"/>
                <w:szCs w:val="18"/>
              </w:rPr>
              <w:t>毕业要求</w:t>
            </w:r>
          </w:p>
        </w:tc>
        <w:tc>
          <w:tcPr>
            <w:tcW w:w="704" w:type="dxa"/>
            <w:tcBorders>
              <w:tl2br w:val="nil"/>
              <w:tr2bl w:val="nil"/>
            </w:tcBorders>
            <w:vAlign w:val="center"/>
          </w:tcPr>
          <w:p w14:paraId="3655BFFA">
            <w:pPr>
              <w:pStyle w:val="19"/>
              <w:rPr>
                <w:szCs w:val="16"/>
              </w:rPr>
            </w:pPr>
            <w:r>
              <w:rPr>
                <w:rFonts w:hint="eastAsia"/>
                <w:szCs w:val="16"/>
              </w:rPr>
              <w:t>指标点</w:t>
            </w:r>
          </w:p>
        </w:tc>
        <w:tc>
          <w:tcPr>
            <w:tcW w:w="651" w:type="dxa"/>
            <w:tcBorders>
              <w:tl2br w:val="nil"/>
              <w:tr2bl w:val="nil"/>
            </w:tcBorders>
            <w:shd w:val="clear" w:color="auto" w:fill="auto"/>
            <w:vAlign w:val="center"/>
          </w:tcPr>
          <w:p w14:paraId="0BC2E75E">
            <w:pPr>
              <w:pStyle w:val="19"/>
              <w:rPr>
                <w:szCs w:val="16"/>
              </w:rPr>
            </w:pPr>
            <w:r>
              <w:rPr>
                <w:rFonts w:hint="eastAsia"/>
                <w:szCs w:val="16"/>
              </w:rPr>
              <w:t>支撑度</w:t>
            </w:r>
          </w:p>
        </w:tc>
        <w:tc>
          <w:tcPr>
            <w:tcW w:w="5177" w:type="dxa"/>
            <w:tcBorders>
              <w:tl2br w:val="nil"/>
              <w:tr2bl w:val="nil"/>
            </w:tcBorders>
            <w:vAlign w:val="center"/>
          </w:tcPr>
          <w:p w14:paraId="4F174B65">
            <w:pPr>
              <w:pStyle w:val="19"/>
              <w:rPr>
                <w:szCs w:val="16"/>
              </w:rPr>
            </w:pPr>
            <w:r>
              <w:rPr>
                <w:rFonts w:hint="eastAsia"/>
                <w:szCs w:val="16"/>
              </w:rPr>
              <w:t>课程目标</w:t>
            </w:r>
          </w:p>
        </w:tc>
        <w:tc>
          <w:tcPr>
            <w:tcW w:w="1247" w:type="dxa"/>
            <w:tcBorders>
              <w:tl2br w:val="nil"/>
              <w:tr2bl w:val="nil"/>
            </w:tcBorders>
            <w:vAlign w:val="center"/>
          </w:tcPr>
          <w:p w14:paraId="0853037B">
            <w:pPr>
              <w:pStyle w:val="19"/>
              <w:rPr>
                <w:szCs w:val="16"/>
              </w:rPr>
            </w:pPr>
            <w:r>
              <w:rPr>
                <w:rFonts w:hint="eastAsia"/>
                <w:szCs w:val="16"/>
              </w:rPr>
              <w:t>对指标点的</w:t>
            </w:r>
          </w:p>
          <w:p w14:paraId="6162AEF0">
            <w:pPr>
              <w:pStyle w:val="19"/>
              <w:rPr>
                <w:szCs w:val="16"/>
              </w:rPr>
            </w:pPr>
            <w:r>
              <w:rPr>
                <w:rFonts w:hint="eastAsia"/>
                <w:szCs w:val="16"/>
              </w:rPr>
              <w:t>贡献度</w:t>
            </w:r>
          </w:p>
        </w:tc>
      </w:tr>
      <w:tr w14:paraId="313472E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697" w:type="dxa"/>
            <w:tcBorders>
              <w:tl2br w:val="nil"/>
              <w:tr2bl w:val="nil"/>
            </w:tcBorders>
            <w:shd w:val="clear" w:color="auto" w:fill="auto"/>
            <w:vAlign w:val="center"/>
          </w:tcPr>
          <w:p w14:paraId="2972FC52">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LO1</w:t>
            </w:r>
          </w:p>
        </w:tc>
        <w:tc>
          <w:tcPr>
            <w:tcW w:w="704" w:type="dxa"/>
            <w:tcBorders>
              <w:tl2br w:val="nil"/>
              <w:tr2bl w:val="nil"/>
            </w:tcBorders>
            <w:vAlign w:val="center"/>
          </w:tcPr>
          <w:p w14:paraId="2045EB0D">
            <w:pPr>
              <w:pStyle w:val="20"/>
              <w:jc w:val="center"/>
              <w:rPr>
                <w:rFonts w:cs="Times New Roman" w:asciiTheme="minorEastAsia" w:hAnsiTheme="minorEastAsia" w:eastAsiaTheme="minorEastAsia"/>
                <w:sz w:val="21"/>
                <w:szCs w:val="21"/>
              </w:rPr>
            </w:pPr>
            <w:r>
              <w:rPr>
                <w:rFonts w:asciiTheme="minorEastAsia" w:hAnsiTheme="minorEastAsia" w:eastAsiaTheme="minorEastAsia"/>
                <w:sz w:val="21"/>
                <w:szCs w:val="21"/>
              </w:rPr>
              <w:t>①</w:t>
            </w:r>
          </w:p>
        </w:tc>
        <w:tc>
          <w:tcPr>
            <w:tcW w:w="651" w:type="dxa"/>
            <w:tcBorders>
              <w:tl2br w:val="nil"/>
              <w:tr2bl w:val="nil"/>
            </w:tcBorders>
            <w:shd w:val="clear" w:color="auto" w:fill="auto"/>
            <w:vAlign w:val="center"/>
          </w:tcPr>
          <w:p w14:paraId="174C568A">
            <w:pPr>
              <w:pStyle w:val="20"/>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L</w:t>
            </w:r>
          </w:p>
        </w:tc>
        <w:tc>
          <w:tcPr>
            <w:tcW w:w="5177" w:type="dxa"/>
            <w:tcBorders>
              <w:tl2br w:val="nil"/>
              <w:tr2bl w:val="nil"/>
            </w:tcBorders>
            <w:vAlign w:val="center"/>
          </w:tcPr>
          <w:p w14:paraId="062B2315">
            <w:pPr>
              <w:pStyle w:val="20"/>
              <w:rPr>
                <w:rFonts w:asciiTheme="minorEastAsia" w:hAnsiTheme="minorEastAsia" w:eastAsiaTheme="minorEastAsia"/>
                <w:sz w:val="21"/>
                <w:szCs w:val="21"/>
              </w:rPr>
            </w:pPr>
            <w:r>
              <w:rPr>
                <w:rFonts w:hint="eastAsia" w:ascii="宋体" w:hAnsi="宋体" w:eastAsia="宋体"/>
                <w:sz w:val="21"/>
                <w:szCs w:val="21"/>
              </w:rPr>
              <w:t>①爱党爱国，坚决拥护党的领导，热爱祖国的大好河山、悠久历史、灿烂文化，自觉维护民族利益和国家尊严。</w:t>
            </w:r>
            <w:r>
              <w:rPr>
                <w:rFonts w:hint="eastAsia" w:asciiTheme="minorEastAsia" w:hAnsiTheme="minorEastAsia" w:eastAsiaTheme="minorEastAsia"/>
                <w:b/>
                <w:sz w:val="21"/>
                <w:szCs w:val="21"/>
                <w:lang w:val="en-US" w:eastAsia="zh-CN"/>
              </w:rPr>
              <w:t>1</w:t>
            </w:r>
            <w:r>
              <w:rPr>
                <w:rFonts w:hint="eastAsia" w:asciiTheme="minorEastAsia" w:hAnsiTheme="minorEastAsia" w:eastAsiaTheme="minorEastAsia"/>
                <w:b/>
                <w:sz w:val="21"/>
                <w:szCs w:val="21"/>
              </w:rPr>
              <w:t>.</w:t>
            </w:r>
            <w:r>
              <w:rPr>
                <w:rFonts w:hint="eastAsia" w:asciiTheme="minorEastAsia" w:hAnsiTheme="minorEastAsia" w:eastAsiaTheme="minorEastAsia"/>
                <w:b/>
                <w:sz w:val="21"/>
                <w:szCs w:val="21"/>
                <w:lang w:val="en-US" w:eastAsia="zh-CN"/>
              </w:rPr>
              <w:t>交际</w:t>
            </w:r>
            <w:r>
              <w:rPr>
                <w:rFonts w:hint="eastAsia" w:asciiTheme="minorEastAsia" w:hAnsiTheme="minorEastAsia" w:eastAsiaTheme="minorEastAsia"/>
                <w:b/>
                <w:sz w:val="21"/>
                <w:szCs w:val="21"/>
              </w:rPr>
              <w:t>能力：</w:t>
            </w:r>
            <w:r>
              <w:rPr>
                <w:rFonts w:hint="eastAsia" w:asciiTheme="minorEastAsia" w:hAnsiTheme="minorEastAsia" w:eastAsiaTheme="minorEastAsia"/>
                <w:sz w:val="21"/>
                <w:szCs w:val="21"/>
              </w:rPr>
              <w:t>能</w:t>
            </w:r>
            <w:r>
              <w:rPr>
                <w:rFonts w:hint="eastAsia" w:asciiTheme="minorEastAsia" w:hAnsiTheme="minorEastAsia" w:eastAsiaTheme="minorEastAsia"/>
                <w:sz w:val="21"/>
                <w:szCs w:val="21"/>
                <w:lang w:val="en-US" w:eastAsia="zh-CN"/>
              </w:rPr>
              <w:t>借助阅读材料或者写作题目要求，进行基本的观点表达，</w:t>
            </w:r>
            <w:r>
              <w:rPr>
                <w:rFonts w:hint="eastAsia" w:asciiTheme="minorEastAsia" w:hAnsiTheme="minorEastAsia" w:eastAsiaTheme="minorEastAsia"/>
                <w:sz w:val="21"/>
                <w:szCs w:val="21"/>
              </w:rPr>
              <w:t>无重大的理解和语言表达错误。无重大的理解和语言表达错误。</w:t>
            </w:r>
          </w:p>
          <w:p w14:paraId="1F3D0270">
            <w:pPr>
              <w:pStyle w:val="20"/>
              <w:rPr>
                <w:rFonts w:asciiTheme="minorEastAsia" w:hAnsiTheme="minorEastAsia" w:eastAsiaTheme="minorEastAsia"/>
                <w:sz w:val="21"/>
                <w:szCs w:val="21"/>
              </w:rPr>
            </w:pPr>
            <w:r>
              <w:rPr>
                <w:rFonts w:hint="eastAsia" w:asciiTheme="minorEastAsia" w:hAnsiTheme="minorEastAsia" w:eastAsiaTheme="minorEastAsia"/>
                <w:b/>
                <w:bCs/>
                <w:sz w:val="21"/>
                <w:szCs w:val="21"/>
                <w:lang w:val="en-US" w:eastAsia="zh-CN"/>
              </w:rPr>
              <w:t>2</w:t>
            </w:r>
            <w:r>
              <w:rPr>
                <w:rFonts w:hint="eastAsia" w:asciiTheme="minorEastAsia" w:hAnsiTheme="minorEastAsia" w:eastAsiaTheme="minorEastAsia"/>
                <w:b/>
                <w:bCs/>
                <w:sz w:val="21"/>
                <w:szCs w:val="21"/>
              </w:rPr>
              <w:t>.</w:t>
            </w:r>
            <w:r>
              <w:rPr>
                <w:rFonts w:hint="eastAsia" w:asciiTheme="minorEastAsia" w:hAnsiTheme="minorEastAsia" w:eastAsiaTheme="minorEastAsia"/>
                <w:sz w:val="21"/>
                <w:szCs w:val="21"/>
              </w:rPr>
              <w:t>加深学生对不同文化的理解，增强文化自信和人文素养，弘扬社会主义核心价值观，树立家国情怀。</w:t>
            </w:r>
          </w:p>
        </w:tc>
        <w:tc>
          <w:tcPr>
            <w:tcW w:w="1247" w:type="dxa"/>
            <w:tcBorders>
              <w:tl2br w:val="nil"/>
              <w:tr2bl w:val="nil"/>
            </w:tcBorders>
            <w:vAlign w:val="center"/>
          </w:tcPr>
          <w:p w14:paraId="517F2297">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r>
      <w:tr w14:paraId="5B9C4A2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57" w:type="dxa"/>
            <w:left w:w="85" w:type="dxa"/>
            <w:bottom w:w="57" w:type="dxa"/>
            <w:right w:w="85" w:type="dxa"/>
          </w:tblCellMar>
        </w:tblPrEx>
        <w:trPr>
          <w:trHeight w:val="1753" w:hRule="atLeast"/>
          <w:jc w:val="center"/>
        </w:trPr>
        <w:tc>
          <w:tcPr>
            <w:tcW w:w="697" w:type="dxa"/>
            <w:tcBorders>
              <w:tl2br w:val="nil"/>
              <w:tr2bl w:val="nil"/>
            </w:tcBorders>
            <w:shd w:val="clear" w:color="auto" w:fill="auto"/>
            <w:vAlign w:val="center"/>
          </w:tcPr>
          <w:p w14:paraId="0C717D8B">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LO3</w:t>
            </w:r>
          </w:p>
        </w:tc>
        <w:tc>
          <w:tcPr>
            <w:tcW w:w="704" w:type="dxa"/>
            <w:tcBorders>
              <w:tl2br w:val="nil"/>
              <w:tr2bl w:val="nil"/>
            </w:tcBorders>
            <w:vAlign w:val="center"/>
          </w:tcPr>
          <w:p w14:paraId="13F5CF69">
            <w:pPr>
              <w:pStyle w:val="20"/>
              <w:jc w:val="center"/>
              <w:rPr>
                <w:rFonts w:cs="Times New Roman" w:asciiTheme="minorEastAsia" w:hAnsiTheme="minorEastAsia" w:eastAsiaTheme="minorEastAsia"/>
                <w:sz w:val="21"/>
                <w:szCs w:val="21"/>
              </w:rPr>
            </w:pPr>
            <w:r>
              <w:rPr>
                <w:rFonts w:asciiTheme="minorEastAsia" w:hAnsiTheme="minorEastAsia" w:eastAsiaTheme="minorEastAsia"/>
                <w:sz w:val="21"/>
                <w:szCs w:val="21"/>
              </w:rPr>
              <w:t>②</w:t>
            </w:r>
          </w:p>
        </w:tc>
        <w:tc>
          <w:tcPr>
            <w:tcW w:w="651" w:type="dxa"/>
            <w:tcBorders>
              <w:tl2br w:val="nil"/>
              <w:tr2bl w:val="nil"/>
            </w:tcBorders>
            <w:shd w:val="clear" w:color="auto" w:fill="auto"/>
            <w:vAlign w:val="center"/>
          </w:tcPr>
          <w:p w14:paraId="2EB24AD1">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H</w:t>
            </w:r>
          </w:p>
        </w:tc>
        <w:tc>
          <w:tcPr>
            <w:tcW w:w="5177" w:type="dxa"/>
            <w:tcBorders>
              <w:tl2br w:val="nil"/>
              <w:tr2bl w:val="nil"/>
            </w:tcBorders>
            <w:vAlign w:val="center"/>
          </w:tcPr>
          <w:p w14:paraId="2D9A66F5">
            <w:pPr>
              <w:pStyle w:val="20"/>
              <w:numPr>
                <w:ilvl w:val="0"/>
                <w:numId w:val="0"/>
              </w:numPr>
              <w:rPr>
                <w:rFonts w:hint="eastAsia" w:ascii="宋体" w:hAnsi="宋体" w:eastAsia="宋体"/>
                <w:sz w:val="21"/>
                <w:szCs w:val="21"/>
              </w:rPr>
            </w:pPr>
            <w:r>
              <w:rPr>
                <w:rFonts w:hint="eastAsia" w:ascii="宋体" w:hAnsi="宋体" w:eastAsia="宋体"/>
                <w:sz w:val="21"/>
                <w:szCs w:val="21"/>
              </w:rPr>
              <w:t>②应用书面</w:t>
            </w:r>
            <w:r>
              <w:rPr>
                <w:rFonts w:hint="eastAsia" w:ascii="宋体" w:hAnsi="宋体" w:eastAsia="宋体"/>
                <w:sz w:val="21"/>
                <w:szCs w:val="21"/>
                <w:lang w:val="en-US" w:eastAsia="zh-CN"/>
              </w:rPr>
              <w:t>表达</w:t>
            </w:r>
            <w:r>
              <w:rPr>
                <w:rFonts w:hint="eastAsia" w:ascii="宋体" w:hAnsi="宋体" w:eastAsia="宋体"/>
                <w:sz w:val="21"/>
                <w:szCs w:val="21"/>
              </w:rPr>
              <w:t>，阐释自己的观点，有效沟通。</w:t>
            </w:r>
          </w:p>
          <w:p w14:paraId="05169E73">
            <w:pPr>
              <w:pStyle w:val="20"/>
              <w:numPr>
                <w:ilvl w:val="0"/>
                <w:numId w:val="0"/>
              </w:numPr>
              <w:rPr>
                <w:rFonts w:asciiTheme="minorEastAsia" w:hAnsiTheme="minorEastAsia" w:eastAsiaTheme="minorEastAsia"/>
                <w:sz w:val="21"/>
                <w:szCs w:val="21"/>
              </w:rPr>
            </w:pPr>
            <w:r>
              <w:rPr>
                <w:rFonts w:hint="eastAsia" w:asciiTheme="minorEastAsia" w:hAnsiTheme="minorEastAsia" w:eastAsiaTheme="minorEastAsia"/>
                <w:b/>
                <w:sz w:val="21"/>
                <w:szCs w:val="21"/>
              </w:rPr>
              <w:t>写作能力：</w:t>
            </w:r>
            <w:r>
              <w:rPr>
                <w:rFonts w:hint="eastAsia" w:asciiTheme="minorEastAsia" w:hAnsiTheme="minorEastAsia" w:eastAsiaTheme="minorEastAsia"/>
                <w:sz w:val="21"/>
                <w:szCs w:val="21"/>
              </w:rPr>
              <w:t>能完成一般性写作任务，能描述个人经历、观感、情感和发生的事件等，能写常见的应用文，能在</w:t>
            </w:r>
            <w:r>
              <w:rPr>
                <w:rFonts w:hint="eastAsia" w:asciiTheme="minorEastAsia" w:hAnsiTheme="minorEastAsia" w:eastAsiaTheme="minorEastAsia"/>
                <w:sz w:val="21"/>
                <w:szCs w:val="21"/>
                <w:lang w:val="en-US" w:eastAsia="zh-CN"/>
              </w:rPr>
              <w:t>20分钟</w:t>
            </w:r>
            <w:r>
              <w:rPr>
                <w:rFonts w:hint="eastAsia" w:asciiTheme="minorEastAsia" w:hAnsiTheme="minorEastAsia" w:eastAsiaTheme="minorEastAsia"/>
                <w:sz w:val="21"/>
                <w:szCs w:val="21"/>
              </w:rPr>
              <w:t>内就一般性话题或提纲写出不少于1</w:t>
            </w: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0词的短文，内容基本完整，中心思想明确，用词恰当，语意连贯，能掌握基本的写作技能。</w:t>
            </w:r>
          </w:p>
        </w:tc>
        <w:tc>
          <w:tcPr>
            <w:tcW w:w="1247" w:type="dxa"/>
            <w:tcBorders>
              <w:tl2br w:val="nil"/>
              <w:tr2bl w:val="nil"/>
            </w:tcBorders>
            <w:vAlign w:val="center"/>
          </w:tcPr>
          <w:p w14:paraId="5604819B">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r>
      <w:tr w14:paraId="199565F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697" w:type="dxa"/>
            <w:tcBorders>
              <w:tl2br w:val="nil"/>
              <w:tr2bl w:val="nil"/>
            </w:tcBorders>
            <w:shd w:val="clear" w:color="auto" w:fill="auto"/>
            <w:vAlign w:val="center"/>
          </w:tcPr>
          <w:p w14:paraId="67C3D051">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LO4</w:t>
            </w:r>
          </w:p>
        </w:tc>
        <w:tc>
          <w:tcPr>
            <w:tcW w:w="704" w:type="dxa"/>
            <w:tcBorders>
              <w:tl2br w:val="nil"/>
              <w:tr2bl w:val="nil"/>
            </w:tcBorders>
            <w:vAlign w:val="center"/>
          </w:tcPr>
          <w:p w14:paraId="6CFA76DC">
            <w:pPr>
              <w:pStyle w:val="20"/>
              <w:jc w:val="center"/>
              <w:rPr>
                <w:rFonts w:cs="Times New Roman" w:asciiTheme="minorEastAsia" w:hAnsiTheme="minorEastAsia" w:eastAsiaTheme="minorEastAsia"/>
                <w:sz w:val="21"/>
                <w:szCs w:val="21"/>
              </w:rPr>
            </w:pPr>
            <w:r>
              <w:rPr>
                <w:rFonts w:asciiTheme="minorEastAsia" w:hAnsiTheme="minorEastAsia" w:eastAsiaTheme="minorEastAsia"/>
                <w:sz w:val="21"/>
                <w:szCs w:val="21"/>
              </w:rPr>
              <w:t>②</w:t>
            </w:r>
          </w:p>
        </w:tc>
        <w:tc>
          <w:tcPr>
            <w:tcW w:w="651" w:type="dxa"/>
            <w:tcBorders>
              <w:tl2br w:val="nil"/>
              <w:tr2bl w:val="nil"/>
            </w:tcBorders>
            <w:shd w:val="clear" w:color="auto" w:fill="auto"/>
            <w:vAlign w:val="center"/>
          </w:tcPr>
          <w:p w14:paraId="6D4482E7">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M</w:t>
            </w:r>
          </w:p>
        </w:tc>
        <w:tc>
          <w:tcPr>
            <w:tcW w:w="5177" w:type="dxa"/>
            <w:tcBorders>
              <w:tl2br w:val="nil"/>
              <w:tr2bl w:val="nil"/>
            </w:tcBorders>
            <w:vAlign w:val="center"/>
          </w:tcPr>
          <w:p w14:paraId="3D545463">
            <w:pPr>
              <w:pStyle w:val="20"/>
              <w:rPr>
                <w:rFonts w:hint="eastAsia" w:ascii="宋体" w:hAnsi="宋体" w:eastAsia="宋体"/>
                <w:sz w:val="21"/>
                <w:szCs w:val="21"/>
              </w:rPr>
            </w:pPr>
            <w:r>
              <w:rPr>
                <w:rFonts w:hint="eastAsia" w:ascii="宋体" w:hAnsi="宋体" w:eastAsia="宋体"/>
                <w:sz w:val="21"/>
                <w:szCs w:val="21"/>
              </w:rPr>
              <w:t>②能搜集、获取达到目标所需要的学习资源，实施学习计划、反思学习计划、持续改进，达到学习目标。</w:t>
            </w:r>
          </w:p>
          <w:p w14:paraId="7B29997E">
            <w:pPr>
              <w:pStyle w:val="20"/>
              <w:rPr>
                <w:rFonts w:asciiTheme="minorEastAsia" w:hAnsiTheme="minorEastAsia" w:eastAsiaTheme="minorEastAsia"/>
                <w:sz w:val="21"/>
                <w:szCs w:val="21"/>
              </w:rPr>
            </w:pPr>
            <w:r>
              <w:rPr>
                <w:rFonts w:hint="eastAsia" w:asciiTheme="minorEastAsia" w:hAnsiTheme="minorEastAsia" w:eastAsiaTheme="minorEastAsia"/>
                <w:sz w:val="21"/>
                <w:szCs w:val="21"/>
              </w:rPr>
              <w:t>掌握本课程教材所涉及到的四级词汇与语法句法知识，</w:t>
            </w:r>
            <w:r>
              <w:rPr>
                <w:rFonts w:hint="eastAsia" w:asciiTheme="minorEastAsia" w:hAnsiTheme="minorEastAsia" w:eastAsiaTheme="minorEastAsia"/>
                <w:sz w:val="21"/>
                <w:szCs w:val="21"/>
                <w:lang w:val="en-US" w:eastAsia="zh-CN"/>
              </w:rPr>
              <w:t>整理概括，</w:t>
            </w:r>
            <w:r>
              <w:rPr>
                <w:rFonts w:hint="eastAsia" w:asciiTheme="minorEastAsia" w:hAnsiTheme="minorEastAsia" w:eastAsiaTheme="minorEastAsia"/>
                <w:sz w:val="21"/>
                <w:szCs w:val="21"/>
              </w:rPr>
              <w:t>并能有效运用。</w:t>
            </w:r>
          </w:p>
        </w:tc>
        <w:tc>
          <w:tcPr>
            <w:tcW w:w="1247" w:type="dxa"/>
            <w:tcBorders>
              <w:tl2br w:val="nil"/>
              <w:tr2bl w:val="nil"/>
            </w:tcBorders>
            <w:vAlign w:val="center"/>
          </w:tcPr>
          <w:p w14:paraId="0FD5D49B">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r>
      <w:tr w14:paraId="701AD69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57" w:type="dxa"/>
            <w:left w:w="85" w:type="dxa"/>
            <w:bottom w:w="57" w:type="dxa"/>
            <w:right w:w="85" w:type="dxa"/>
          </w:tblCellMar>
        </w:tblPrEx>
        <w:trPr>
          <w:trHeight w:val="2386" w:hRule="atLeast"/>
          <w:jc w:val="center"/>
        </w:trPr>
        <w:tc>
          <w:tcPr>
            <w:tcW w:w="697" w:type="dxa"/>
            <w:tcBorders>
              <w:tl2br w:val="nil"/>
              <w:tr2bl w:val="nil"/>
            </w:tcBorders>
            <w:shd w:val="clear" w:color="auto" w:fill="auto"/>
            <w:vAlign w:val="center"/>
          </w:tcPr>
          <w:p w14:paraId="7F9DCA52">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LO8</w:t>
            </w:r>
          </w:p>
        </w:tc>
        <w:tc>
          <w:tcPr>
            <w:tcW w:w="704" w:type="dxa"/>
            <w:tcBorders>
              <w:tl2br w:val="nil"/>
              <w:tr2bl w:val="nil"/>
            </w:tcBorders>
            <w:vAlign w:val="center"/>
          </w:tcPr>
          <w:p w14:paraId="27A361BF">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②</w:t>
            </w:r>
          </w:p>
        </w:tc>
        <w:tc>
          <w:tcPr>
            <w:tcW w:w="651" w:type="dxa"/>
            <w:tcBorders>
              <w:tl2br w:val="nil"/>
              <w:tr2bl w:val="nil"/>
            </w:tcBorders>
            <w:shd w:val="clear" w:color="auto" w:fill="auto"/>
            <w:vAlign w:val="center"/>
          </w:tcPr>
          <w:p w14:paraId="3A14482B">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M</w:t>
            </w:r>
          </w:p>
        </w:tc>
        <w:tc>
          <w:tcPr>
            <w:tcW w:w="5177" w:type="dxa"/>
            <w:tcBorders>
              <w:tl2br w:val="nil"/>
              <w:tr2bl w:val="nil"/>
            </w:tcBorders>
            <w:vAlign w:val="center"/>
          </w:tcPr>
          <w:p w14:paraId="39D7E429">
            <w:pPr>
              <w:pStyle w:val="20"/>
              <w:rPr>
                <w:rFonts w:hint="eastAsia" w:ascii="宋体" w:hAnsi="宋体" w:eastAsia="宋体"/>
                <w:sz w:val="21"/>
                <w:szCs w:val="21"/>
              </w:rPr>
            </w:pPr>
            <w:r>
              <w:rPr>
                <w:rFonts w:hint="eastAsia" w:ascii="宋体" w:hAnsi="宋体" w:eastAsia="宋体"/>
                <w:sz w:val="21"/>
                <w:szCs w:val="21"/>
              </w:rPr>
              <w:t>②理解其他国家历史文化，有跨文化交流能力</w:t>
            </w:r>
          </w:p>
          <w:p w14:paraId="32A17C21">
            <w:pPr>
              <w:pStyle w:val="20"/>
              <w:rPr>
                <w:rFonts w:asciiTheme="minorEastAsia" w:hAnsiTheme="minorEastAsia" w:eastAsiaTheme="minorEastAsia"/>
                <w:sz w:val="21"/>
                <w:szCs w:val="21"/>
              </w:rPr>
            </w:pPr>
            <w:r>
              <w:rPr>
                <w:rFonts w:hint="eastAsia" w:asciiTheme="minorEastAsia" w:hAnsiTheme="minorEastAsia" w:eastAsiaTheme="minorEastAsia"/>
                <w:b/>
                <w:bCs/>
                <w:sz w:val="21"/>
                <w:szCs w:val="21"/>
              </w:rPr>
              <w:t>阅读理解能力</w:t>
            </w:r>
            <w:r>
              <w:rPr>
                <w:rFonts w:hint="eastAsia" w:asciiTheme="minorEastAsia" w:hAnsiTheme="minorEastAsia" w:eastAsiaTheme="minorEastAsia"/>
                <w:sz w:val="21"/>
                <w:szCs w:val="21"/>
              </w:rPr>
              <w:t>：能基本读懂一般性题材的英文文章，阅读速度达到每分钟</w:t>
            </w:r>
            <w:r>
              <w:rPr>
                <w:rFonts w:hint="eastAsia" w:asciiTheme="minorEastAsia" w:hAnsiTheme="minorEastAsia" w:eastAsiaTheme="minorEastAsia"/>
                <w:sz w:val="21"/>
                <w:szCs w:val="21"/>
                <w:lang w:val="en-US" w:eastAsia="zh-CN"/>
              </w:rPr>
              <w:t>130到150</w:t>
            </w:r>
            <w:r>
              <w:rPr>
                <w:rFonts w:hint="eastAsia" w:asciiTheme="minorEastAsia" w:hAnsiTheme="minorEastAsia" w:eastAsiaTheme="minorEastAsia"/>
                <w:sz w:val="21"/>
                <w:szCs w:val="21"/>
              </w:rPr>
              <w:t>词。在快速阅读篇幅较长、难度略低的材料时，</w:t>
            </w:r>
            <w:r>
              <w:rPr>
                <w:rFonts w:hint="eastAsia" w:asciiTheme="minorEastAsia" w:hAnsiTheme="minorEastAsia" w:eastAsiaTheme="minorEastAsia"/>
                <w:sz w:val="21"/>
                <w:szCs w:val="21"/>
                <w:lang w:val="en-US" w:eastAsia="zh-CN"/>
              </w:rPr>
              <w:t>快速</w:t>
            </w:r>
            <w:r>
              <w:rPr>
                <w:rFonts w:hint="eastAsia" w:asciiTheme="minorEastAsia" w:hAnsiTheme="minorEastAsia" w:eastAsiaTheme="minorEastAsia"/>
                <w:sz w:val="21"/>
                <w:szCs w:val="21"/>
              </w:rPr>
              <w:t>阅读达到每分钟</w:t>
            </w:r>
            <w:r>
              <w:rPr>
                <w:rFonts w:hint="eastAsia" w:asciiTheme="minorEastAsia" w:hAnsiTheme="minorEastAsia" w:eastAsiaTheme="minorEastAsia"/>
                <w:sz w:val="21"/>
                <w:szCs w:val="21"/>
                <w:lang w:val="en-US" w:eastAsia="zh-CN"/>
              </w:rPr>
              <w:t>160</w:t>
            </w:r>
            <w:r>
              <w:rPr>
                <w:rFonts w:hint="eastAsia" w:asciiTheme="minorEastAsia" w:hAnsiTheme="minorEastAsia" w:eastAsiaTheme="minorEastAsia"/>
                <w:sz w:val="21"/>
                <w:szCs w:val="21"/>
              </w:rPr>
              <w:t>词</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理解</w:t>
            </w:r>
            <w:r>
              <w:rPr>
                <w:rFonts w:hint="eastAsia" w:asciiTheme="minorEastAsia" w:hAnsiTheme="minorEastAsia" w:eastAsiaTheme="minorEastAsia"/>
                <w:sz w:val="21"/>
                <w:szCs w:val="21"/>
              </w:rPr>
              <w:t>基本准确，无重大的理解和语言表达错误。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c>
          <w:tcPr>
            <w:tcW w:w="1247" w:type="dxa"/>
            <w:tcBorders>
              <w:tl2br w:val="nil"/>
              <w:tr2bl w:val="nil"/>
            </w:tcBorders>
            <w:vAlign w:val="center"/>
          </w:tcPr>
          <w:p w14:paraId="489A6012">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r>
    </w:tbl>
    <w:p w14:paraId="1B053E2C">
      <w:pPr>
        <w:pStyle w:val="22"/>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DA7B3B8">
      <w:pPr>
        <w:pStyle w:val="23"/>
        <w:spacing w:before="81" w:after="163"/>
        <w:rPr>
          <w:rFonts w:hint="eastAsia"/>
        </w:rPr>
      </w:pPr>
      <w:r>
        <w:rPr>
          <w:rFonts w:hint="eastAsia"/>
        </w:rPr>
        <w:t>（一）各教学单元预期学习成果与教学内容</w:t>
      </w:r>
    </w:p>
    <w:tbl>
      <w:tblPr>
        <w:tblStyle w:val="9"/>
        <w:tblW w:w="8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8"/>
        <w:gridCol w:w="1934"/>
        <w:gridCol w:w="2652"/>
        <w:gridCol w:w="1896"/>
      </w:tblGrid>
      <w:tr w14:paraId="282F3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dxa"/>
          </w:tcPr>
          <w:p w14:paraId="02623E9B">
            <w:pPr>
              <w:contextualSpacing/>
              <w:rPr>
                <w:rFonts w:hint="default" w:ascii="华文宋体" w:hAnsi="华文宋体" w:eastAsia="华文宋体" w:cs="华文宋体"/>
                <w:b/>
                <w:bCs/>
                <w:sz w:val="21"/>
                <w:szCs w:val="21"/>
                <w:highlight w:val="none"/>
                <w:lang w:val="en-US" w:eastAsia="zh-CN"/>
              </w:rPr>
            </w:pPr>
            <w:r>
              <w:rPr>
                <w:rFonts w:hint="eastAsia" w:ascii="华文宋体" w:hAnsi="华文宋体" w:eastAsia="华文宋体" w:cs="华文宋体"/>
                <w:b/>
                <w:bCs/>
                <w:sz w:val="21"/>
                <w:szCs w:val="21"/>
                <w:highlight w:val="none"/>
                <w:lang w:val="en-US" w:eastAsia="zh-CN"/>
              </w:rPr>
              <w:t>教学单元</w:t>
            </w:r>
          </w:p>
        </w:tc>
        <w:tc>
          <w:tcPr>
            <w:tcW w:w="2222" w:type="dxa"/>
          </w:tcPr>
          <w:p w14:paraId="484C8BD9">
            <w:pPr>
              <w:contextualSpacing/>
              <w:rPr>
                <w:rFonts w:hint="default" w:ascii="华文宋体" w:hAnsi="华文宋体" w:eastAsia="华文宋体" w:cs="华文宋体"/>
                <w:b/>
                <w:bCs/>
                <w:sz w:val="21"/>
                <w:szCs w:val="21"/>
                <w:highlight w:val="none"/>
                <w:lang w:val="en-US" w:eastAsia="zh-CN"/>
              </w:rPr>
            </w:pPr>
            <w:r>
              <w:rPr>
                <w:rFonts w:hint="eastAsia" w:ascii="华文宋体" w:hAnsi="华文宋体" w:eastAsia="华文宋体" w:cs="华文宋体"/>
                <w:b/>
                <w:bCs/>
                <w:sz w:val="21"/>
                <w:szCs w:val="21"/>
                <w:highlight w:val="none"/>
                <w:lang w:val="en-US" w:eastAsia="zh-CN"/>
              </w:rPr>
              <w:t>预期学习成果</w:t>
            </w:r>
          </w:p>
        </w:tc>
        <w:tc>
          <w:tcPr>
            <w:tcW w:w="2824" w:type="dxa"/>
          </w:tcPr>
          <w:p w14:paraId="4B7E2F52">
            <w:pPr>
              <w:contextualSpacing/>
              <w:rPr>
                <w:rFonts w:hint="default" w:ascii="华文宋体" w:hAnsi="华文宋体" w:eastAsia="华文宋体" w:cs="华文宋体"/>
                <w:b/>
                <w:bCs/>
                <w:sz w:val="21"/>
                <w:szCs w:val="21"/>
                <w:highlight w:val="none"/>
                <w:lang w:val="en-US" w:eastAsia="zh-CN"/>
              </w:rPr>
            </w:pPr>
            <w:r>
              <w:rPr>
                <w:rFonts w:hint="eastAsia" w:ascii="华文宋体" w:hAnsi="华文宋体" w:eastAsia="华文宋体" w:cs="华文宋体"/>
                <w:b/>
                <w:bCs/>
                <w:sz w:val="21"/>
                <w:szCs w:val="21"/>
                <w:highlight w:val="none"/>
                <w:lang w:val="en-US" w:eastAsia="zh-CN"/>
              </w:rPr>
              <w:t>核心知识点</w:t>
            </w:r>
          </w:p>
        </w:tc>
        <w:tc>
          <w:tcPr>
            <w:tcW w:w="2009" w:type="dxa"/>
          </w:tcPr>
          <w:p w14:paraId="45D9646C">
            <w:pPr>
              <w:contextualSpacing/>
              <w:jc w:val="center"/>
              <w:rPr>
                <w:rFonts w:hint="default" w:ascii="华文宋体" w:hAnsi="华文宋体" w:eastAsia="华文宋体" w:cs="华文宋体"/>
                <w:b/>
                <w:bCs/>
                <w:sz w:val="21"/>
                <w:szCs w:val="21"/>
                <w:highlight w:val="none"/>
                <w:lang w:val="en-US" w:eastAsia="zh-CN"/>
              </w:rPr>
            </w:pPr>
            <w:r>
              <w:rPr>
                <w:rFonts w:hint="eastAsia" w:ascii="华文宋体" w:hAnsi="华文宋体" w:eastAsia="华文宋体" w:cs="华文宋体"/>
                <w:b/>
                <w:bCs/>
                <w:sz w:val="21"/>
                <w:szCs w:val="21"/>
                <w:highlight w:val="none"/>
                <w:lang w:val="en-US" w:eastAsia="zh-CN"/>
              </w:rPr>
              <w:t>能力要求</w:t>
            </w:r>
          </w:p>
        </w:tc>
      </w:tr>
      <w:tr w14:paraId="14678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dxa"/>
            <w:vAlign w:val="center"/>
          </w:tcPr>
          <w:p w14:paraId="5D1D42F4">
            <w:pPr>
              <w:widowControl/>
              <w:numPr>
                <w:ilvl w:val="0"/>
                <w:numId w:val="1"/>
              </w:numPr>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雅思</w:t>
            </w:r>
            <w:r>
              <w:rPr>
                <w:rFonts w:hint="eastAsia" w:ascii="华文宋体" w:hAnsi="华文宋体" w:eastAsia="华文宋体" w:cs="华文宋体"/>
                <w:kern w:val="0"/>
                <w:sz w:val="21"/>
                <w:szCs w:val="21"/>
                <w:highlight w:val="none"/>
                <w:lang w:val="en-US" w:eastAsia="zh-CN"/>
              </w:rPr>
              <w:t>阅读与写作</w:t>
            </w:r>
            <w:r>
              <w:rPr>
                <w:rFonts w:hint="default" w:ascii="华文宋体" w:hAnsi="华文宋体" w:eastAsia="华文宋体" w:cs="华文宋体"/>
                <w:kern w:val="0"/>
                <w:sz w:val="21"/>
                <w:szCs w:val="21"/>
                <w:highlight w:val="none"/>
                <w:lang w:val="en-US" w:eastAsia="zh-CN"/>
              </w:rPr>
              <w:t xml:space="preserve">简介General Introduction of IELTS </w:t>
            </w:r>
            <w:r>
              <w:rPr>
                <w:rFonts w:hint="eastAsia" w:ascii="华文宋体" w:hAnsi="华文宋体" w:eastAsia="华文宋体" w:cs="华文宋体"/>
                <w:kern w:val="0"/>
                <w:sz w:val="21"/>
                <w:szCs w:val="21"/>
                <w:highlight w:val="none"/>
                <w:lang w:val="en-US" w:eastAsia="zh-CN"/>
              </w:rPr>
              <w:t>Reading</w:t>
            </w:r>
            <w:r>
              <w:rPr>
                <w:rFonts w:hint="default" w:ascii="华文宋体" w:hAnsi="华文宋体" w:eastAsia="华文宋体" w:cs="华文宋体"/>
                <w:kern w:val="0"/>
                <w:sz w:val="21"/>
                <w:szCs w:val="21"/>
                <w:highlight w:val="none"/>
                <w:lang w:val="en-US" w:eastAsia="zh-CN"/>
              </w:rPr>
              <w:t xml:space="preserve"> &amp; </w:t>
            </w:r>
            <w:r>
              <w:rPr>
                <w:rFonts w:hint="eastAsia" w:ascii="华文宋体" w:hAnsi="华文宋体" w:eastAsia="华文宋体" w:cs="华文宋体"/>
                <w:kern w:val="0"/>
                <w:sz w:val="21"/>
                <w:szCs w:val="21"/>
                <w:highlight w:val="none"/>
                <w:lang w:val="en-US" w:eastAsia="zh-CN"/>
              </w:rPr>
              <w:t xml:space="preserve">Writing </w:t>
            </w:r>
          </w:p>
        </w:tc>
        <w:tc>
          <w:tcPr>
            <w:tcW w:w="2222" w:type="dxa"/>
            <w:shd w:val="clear" w:color="auto" w:fill="auto"/>
            <w:vAlign w:val="top"/>
          </w:tcPr>
          <w:p w14:paraId="6C89A951">
            <w:pPr>
              <w:contextualSpacing/>
              <w:rPr>
                <w:rFonts w:hint="eastAsia" w:ascii="华文宋体" w:hAnsi="华文宋体" w:eastAsia="华文宋体" w:cs="华文宋体"/>
                <w:i w:val="0"/>
                <w:iCs w:val="0"/>
                <w:caps w:val="0"/>
                <w:color w:val="1F1F1F"/>
                <w:spacing w:val="0"/>
                <w:sz w:val="21"/>
                <w:szCs w:val="21"/>
                <w:highlight w:val="none"/>
                <w:shd w:val="clear" w:fill="FFFFFF"/>
                <w:lang w:val="en-US" w:eastAsia="zh-CN"/>
              </w:rPr>
            </w:pPr>
          </w:p>
          <w:p w14:paraId="30CD2546">
            <w:pPr>
              <w:contextualSpacing/>
              <w:rPr>
                <w:rFonts w:hint="default" w:ascii="华文宋体" w:hAnsi="华文宋体" w:eastAsia="华文宋体" w:cs="华文宋体"/>
                <w:i w:val="0"/>
                <w:iCs w:val="0"/>
                <w:caps w:val="0"/>
                <w:color w:val="1F1F1F"/>
                <w:spacing w:val="0"/>
                <w:sz w:val="21"/>
                <w:szCs w:val="21"/>
                <w:highlight w:val="none"/>
                <w:shd w:val="clear" w:fill="FFFFFF"/>
                <w:lang w:val="en-US" w:eastAsia="zh-CN" w:bidi="ar-SA"/>
              </w:rPr>
            </w:pPr>
            <w:r>
              <w:rPr>
                <w:rFonts w:hint="eastAsia" w:ascii="华文宋体" w:hAnsi="华文宋体" w:eastAsia="华文宋体" w:cs="华文宋体"/>
                <w:i w:val="0"/>
                <w:iCs w:val="0"/>
                <w:caps w:val="0"/>
                <w:color w:val="1F1F1F"/>
                <w:spacing w:val="0"/>
                <w:sz w:val="21"/>
                <w:szCs w:val="21"/>
                <w:highlight w:val="none"/>
                <w:shd w:val="clear" w:fill="FFFFFF"/>
                <w:lang w:val="en-US" w:eastAsia="zh-CN"/>
              </w:rPr>
              <w:t>学生了解雅思阅读与写作考试的内容、题型及评分标准。</w:t>
            </w:r>
          </w:p>
        </w:tc>
        <w:tc>
          <w:tcPr>
            <w:tcW w:w="2824" w:type="dxa"/>
            <w:shd w:val="clear" w:color="auto" w:fill="auto"/>
            <w:vAlign w:val="top"/>
          </w:tcPr>
          <w:p w14:paraId="31A0271F">
            <w:pPr>
              <w:contextualSpacing/>
              <w:rPr>
                <w:rFonts w:hint="eastAsia" w:ascii="华文宋体" w:hAnsi="华文宋体" w:eastAsia="华文宋体" w:cs="华文宋体"/>
                <w:sz w:val="21"/>
                <w:szCs w:val="21"/>
                <w:highlight w:val="none"/>
                <w:lang w:val="en-US" w:eastAsia="zh-CN"/>
              </w:rPr>
            </w:pPr>
          </w:p>
          <w:p w14:paraId="243C614A">
            <w:pPr>
              <w:contextualSpacing/>
              <w:rPr>
                <w:rFonts w:hint="default"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学生根据雅思考试评分标准设置学习目标和学习计划。切实增强学生的英语阅读与写作能力。</w:t>
            </w:r>
          </w:p>
          <w:p w14:paraId="0888AECA">
            <w:pPr>
              <w:contextualSpacing/>
              <w:rPr>
                <w:rFonts w:hint="default" w:ascii="华文宋体" w:hAnsi="华文宋体" w:eastAsia="华文宋体" w:cs="华文宋体"/>
                <w:sz w:val="21"/>
                <w:szCs w:val="21"/>
                <w:highlight w:val="none"/>
                <w:lang w:val="en-US" w:eastAsia="zh-CN" w:bidi="ar-SA"/>
              </w:rPr>
            </w:pPr>
          </w:p>
        </w:tc>
        <w:tc>
          <w:tcPr>
            <w:tcW w:w="2009" w:type="dxa"/>
            <w:vAlign w:val="center"/>
          </w:tcPr>
          <w:p w14:paraId="6B2F8A77">
            <w:pPr>
              <w:contextualSpacing/>
              <w:rPr>
                <w:rFonts w:hint="default"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掌握雅思阅读与写作的考试要求</w:t>
            </w:r>
          </w:p>
        </w:tc>
      </w:tr>
      <w:tr w14:paraId="37A0A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dxa"/>
            <w:vAlign w:val="center"/>
          </w:tcPr>
          <w:p w14:paraId="16A21603">
            <w:pPr>
              <w:widowControl/>
              <w:numPr>
                <w:ilvl w:val="0"/>
                <w:numId w:val="1"/>
              </w:numPr>
              <w:ind w:left="0" w:leftChars="0" w:firstLine="0" w:firstLineChars="0"/>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雅思阅读</w:t>
            </w:r>
          </w:p>
          <w:p w14:paraId="7CD72665">
            <w:pPr>
              <w:widowControl/>
              <w:rPr>
                <w:rFonts w:hint="default" w:ascii="Times New Roman" w:hAnsi="Times New Roman" w:cs="Times New Roman" w:eastAsiaTheme="minorEastAsia"/>
                <w:sz w:val="21"/>
                <w:szCs w:val="21"/>
                <w:lang w:val="en-US" w:eastAsia="zh-CN"/>
              </w:rPr>
            </w:pPr>
            <w:r>
              <w:rPr>
                <w:rFonts w:hint="eastAsia" w:ascii="华文宋体" w:hAnsi="华文宋体" w:eastAsia="华文宋体" w:cs="华文宋体"/>
                <w:sz w:val="21"/>
                <w:szCs w:val="21"/>
                <w:highlight w:val="none"/>
                <w:lang w:val="en-US" w:eastAsia="zh-CN"/>
              </w:rPr>
              <w:t>UNIT 1 Language&amp;Education</w:t>
            </w:r>
          </w:p>
        </w:tc>
        <w:tc>
          <w:tcPr>
            <w:tcW w:w="2222" w:type="dxa"/>
          </w:tcPr>
          <w:p w14:paraId="575BD26D">
            <w:pPr>
              <w:contextualSpacing/>
              <w:rPr>
                <w:rFonts w:hint="default" w:ascii="华文宋体" w:hAnsi="华文宋体" w:eastAsia="华文宋体" w:cs="华文宋体"/>
                <w:sz w:val="21"/>
                <w:szCs w:val="21"/>
                <w:highlight w:val="none"/>
                <w:lang w:val="en-US" w:eastAsia="zh-CN"/>
              </w:rPr>
            </w:pPr>
            <w:r>
              <w:rPr>
                <w:rFonts w:hint="default" w:ascii="华文宋体" w:hAnsi="华文宋体" w:eastAsia="华文宋体" w:cs="华文宋体"/>
                <w:sz w:val="21"/>
                <w:szCs w:val="21"/>
                <w:highlight w:val="none"/>
                <w:lang w:val="en-US" w:eastAsia="zh-CN"/>
              </w:rPr>
              <w:t>学生将能概述双语的认知与神经优势，理解其如何增强思维灵活性及健康益处。通过本单元学习，能运用略读、扫读等技巧处理学术文本，并反思多语种在全球背景下的价值。</w:t>
            </w:r>
          </w:p>
        </w:tc>
        <w:tc>
          <w:tcPr>
            <w:tcW w:w="2824" w:type="dxa"/>
          </w:tcPr>
          <w:p w14:paraId="559CF69A">
            <w:pPr>
              <w:contextualSpacing/>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rPr>
              <w:t>核心知识包括双语基本概念（如双语/单语）、关键认知机制（如语言共激活、冲突管理）、及其在感官处理、抗衰老和三语习得等方面的具体优势，辅以相关实验证据支撑。</w:t>
            </w:r>
          </w:p>
        </w:tc>
        <w:tc>
          <w:tcPr>
            <w:tcW w:w="2009" w:type="dxa"/>
            <w:vAlign w:val="center"/>
          </w:tcPr>
          <w:p w14:paraId="4AE79BD5">
            <w:pPr>
              <w:contextualSpacing/>
              <w:rPr>
                <w:rFonts w:hint="default"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要求学生能熟练完成表格填空、判断正误及信息匹配等雅思题型。具备快速定位信息、分析复杂句结构的能力，并能使用相关学术词汇进行讨论与表达。</w:t>
            </w:r>
          </w:p>
        </w:tc>
      </w:tr>
      <w:tr w14:paraId="69D01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dxa"/>
            <w:vAlign w:val="center"/>
          </w:tcPr>
          <w:p w14:paraId="40A9C500">
            <w:pPr>
              <w:widowControl/>
              <w:numPr>
                <w:ilvl w:val="0"/>
                <w:numId w:val="1"/>
              </w:numPr>
              <w:ind w:left="0" w:leftChars="0" w:firstLine="0" w:firstLineChars="0"/>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rPr>
              <w:t>雅思写作</w:t>
            </w:r>
          </w:p>
          <w:p w14:paraId="5F252318">
            <w:pPr>
              <w:widowControl/>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lang w:val="en-US" w:eastAsia="zh-CN"/>
              </w:rPr>
              <w:t>UNIT 1 Language&amp;Education</w:t>
            </w:r>
          </w:p>
        </w:tc>
        <w:tc>
          <w:tcPr>
            <w:tcW w:w="2222" w:type="dxa"/>
          </w:tcPr>
          <w:p w14:paraId="2E14C8A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rPr>
              <w:t>学生将能识别雅思写作Task 1各类图表（如饼图、线图、表格），掌握其核心写作结构与目的。能运用比较级、最高级及同级比较结构准确描述数据差异与趋势，并完成150字以上的图表概要写作。</w:t>
            </w:r>
          </w:p>
        </w:tc>
        <w:tc>
          <w:tcPr>
            <w:tcW w:w="2824" w:type="dxa"/>
          </w:tcPr>
          <w:p w14:paraId="16DFE23A">
            <w:pPr>
              <w:contextualSpacing/>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rPr>
              <w:t>核心知识包括六类图表（柱状图、线图、饼图、表格、地图、流程图）的识别与功能、引言段转述技巧、数据比较与对比的核心句型（如more than, the most, as...as）及常见错误避免。</w:t>
            </w:r>
          </w:p>
        </w:tc>
        <w:tc>
          <w:tcPr>
            <w:tcW w:w="2009" w:type="dxa"/>
            <w:vAlign w:val="center"/>
          </w:tcPr>
          <w:p w14:paraId="444EB3EA">
            <w:pPr>
              <w:contextualSpacing/>
              <w:rPr>
                <w:rFonts w:hint="default" w:ascii="华文宋体" w:hAnsi="华文宋体" w:eastAsia="华文宋体" w:cs="华文宋体"/>
                <w:sz w:val="21"/>
                <w:szCs w:val="21"/>
                <w:highlight w:val="none"/>
                <w:lang w:val="en-US" w:eastAsia="zh-CN"/>
              </w:rPr>
            </w:pPr>
            <w:r>
              <w:rPr>
                <w:rFonts w:hint="default" w:ascii="华文宋体" w:hAnsi="华文宋体" w:eastAsia="华文宋体" w:cs="华文宋体"/>
                <w:sz w:val="21"/>
                <w:szCs w:val="21"/>
                <w:highlight w:val="none"/>
                <w:lang w:val="en-US" w:eastAsia="zh-CN"/>
              </w:rPr>
              <w:t>要求学生能在20分钟内分析图表、选取关键特征并逻辑组织信息。具备转述题目、运用多样比较结构进行数据描述的能力，并能写出符合学术风格、内容准确且连贯的概要段落。</w:t>
            </w:r>
          </w:p>
        </w:tc>
      </w:tr>
      <w:tr w14:paraId="5CA64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dxa"/>
            <w:vAlign w:val="center"/>
          </w:tcPr>
          <w:p w14:paraId="37DB231B">
            <w:pPr>
              <w:widowControl/>
              <w:numPr>
                <w:ilvl w:val="0"/>
                <w:numId w:val="1"/>
              </w:numPr>
              <w:ind w:left="0" w:leftChars="0" w:firstLine="0" w:firstLineChars="0"/>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雅思阅读</w:t>
            </w:r>
          </w:p>
          <w:p w14:paraId="71E15998">
            <w:pPr>
              <w:widowControl/>
              <w:rPr>
                <w:rFonts w:hint="default"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UNIT 2 Travel &amp; Transport</w:t>
            </w:r>
          </w:p>
        </w:tc>
        <w:tc>
          <w:tcPr>
            <w:tcW w:w="2222" w:type="dxa"/>
          </w:tcPr>
          <w:p w14:paraId="1A37D7A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lang w:val="en-US" w:eastAsia="zh-CN"/>
              </w:rPr>
              <w:t>学生将能识别旅游核心术语，理解新西兰旅游局网站的结构与功能。通过略读、扫读及同义转换训练，掌握笔记</w:t>
            </w:r>
            <w:bookmarkStart w:id="4" w:name="_GoBack"/>
            <w:bookmarkEnd w:id="4"/>
            <w:r>
              <w:rPr>
                <w:rFonts w:hint="eastAsia" w:ascii="华文宋体" w:hAnsi="华文宋体" w:eastAsia="华文宋体" w:cs="华文宋体"/>
                <w:sz w:val="21"/>
                <w:szCs w:val="21"/>
                <w:highlight w:val="none"/>
                <w:lang w:val="en-US" w:eastAsia="zh-CN"/>
              </w:rPr>
              <w:t>填空、判断正误和简答题题型，并认识旅游对文化交流与可持续发展的重要性。</w:t>
            </w:r>
          </w:p>
        </w:tc>
        <w:tc>
          <w:tcPr>
            <w:tcW w:w="2824" w:type="dxa"/>
          </w:tcPr>
          <w:p w14:paraId="53B33597">
            <w:pPr>
              <w:contextualSpacing/>
              <w:rPr>
                <w:rFonts w:hint="eastAsia" w:ascii="华文宋体" w:hAnsi="华文宋体" w:eastAsia="华文宋体" w:cs="华文宋体"/>
                <w:sz w:val="21"/>
                <w:szCs w:val="21"/>
                <w:highlight w:val="none"/>
                <w:lang w:eastAsia="zh-CN"/>
              </w:rPr>
            </w:pPr>
            <w:r>
              <w:rPr>
                <w:rFonts w:hint="eastAsia" w:ascii="华文宋体" w:hAnsi="华文宋体" w:eastAsia="华文宋体" w:cs="华文宋体"/>
                <w:sz w:val="21"/>
                <w:szCs w:val="21"/>
                <w:highlight w:val="none"/>
              </w:rPr>
              <w:t>核心知识包括旅游经济术语（如GDP）、网站功能（如数据库、行程规划工具）、及关键发现（如活动是游客满意度的主要驱动因素，占74%）。同时涵盖毛利文化真实性及可持续旅游实践。</w:t>
            </w:r>
          </w:p>
        </w:tc>
        <w:tc>
          <w:tcPr>
            <w:tcW w:w="2009" w:type="dxa"/>
            <w:vAlign w:val="center"/>
          </w:tcPr>
          <w:p w14:paraId="79D3F6B2">
            <w:pPr>
              <w:contextualSpacing/>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lang w:val="en-US" w:eastAsia="zh-CN"/>
              </w:rPr>
              <w:t>要求学生能熟练完成笔记填空、判断题及简答题。具备快速定位细节信息、准确判断文本信息正误的能力，并能从文中提取不超过规定字数的准确答案。</w:t>
            </w:r>
          </w:p>
        </w:tc>
      </w:tr>
      <w:tr w14:paraId="2A963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dxa"/>
            <w:shd w:val="clear" w:color="auto" w:fill="auto"/>
            <w:vAlign w:val="center"/>
          </w:tcPr>
          <w:p w14:paraId="277F76EA">
            <w:pPr>
              <w:widowControl/>
              <w:numPr>
                <w:ilvl w:val="0"/>
                <w:numId w:val="1"/>
              </w:numPr>
              <w:ind w:left="0" w:leftChars="0" w:firstLine="0" w:firstLineChars="0"/>
              <w:rPr>
                <w:rFonts w:hint="eastAsia" w:ascii="华文宋体" w:hAnsi="华文宋体" w:eastAsia="华文宋体" w:cs="华文宋体"/>
                <w:sz w:val="21"/>
                <w:szCs w:val="21"/>
                <w:highlight w:val="none"/>
                <w:lang w:val="en-US" w:eastAsia="zh-CN" w:bidi="ar-SA"/>
              </w:rPr>
            </w:pPr>
            <w:r>
              <w:rPr>
                <w:rFonts w:hint="eastAsia" w:ascii="华文宋体" w:hAnsi="华文宋体" w:eastAsia="华文宋体" w:cs="华文宋体"/>
                <w:kern w:val="0"/>
                <w:sz w:val="21"/>
                <w:szCs w:val="21"/>
                <w:highlight w:val="none"/>
                <w:lang w:val="en-US" w:eastAsia="zh-CN"/>
              </w:rPr>
              <w:t>过程考X1</w:t>
            </w:r>
          </w:p>
        </w:tc>
        <w:tc>
          <w:tcPr>
            <w:tcW w:w="2222" w:type="dxa"/>
            <w:shd w:val="clear" w:color="auto" w:fill="auto"/>
            <w:vAlign w:val="top"/>
          </w:tcPr>
          <w:p w14:paraId="1DBF156B">
            <w:pPr>
              <w:contextualSpacing/>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rPr>
              <w:t>学生熟练掌握前四周的阅读技巧，认识小写作类型，能撰写数据图趋势。测试分阅读和写作听力和两部分，采用线上测试。</w:t>
            </w:r>
          </w:p>
        </w:tc>
        <w:tc>
          <w:tcPr>
            <w:tcW w:w="2824" w:type="dxa"/>
            <w:shd w:val="clear" w:color="auto" w:fill="auto"/>
            <w:vAlign w:val="top"/>
          </w:tcPr>
          <w:p w14:paraId="0D251A5B">
            <w:pPr>
              <w:contextualSpacing/>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rPr>
              <w:t>雅思阅读词汇短语及写作词汇概括和记忆，阅读写作技巧。</w:t>
            </w:r>
          </w:p>
        </w:tc>
        <w:tc>
          <w:tcPr>
            <w:tcW w:w="2009" w:type="dxa"/>
            <w:shd w:val="clear" w:color="auto" w:fill="auto"/>
            <w:vAlign w:val="center"/>
          </w:tcPr>
          <w:p w14:paraId="4A2A55EE">
            <w:pPr>
              <w:contextualSpacing/>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bidi="ar-SA"/>
              </w:rPr>
              <w:t>具备综合和复习所学内容的能力。</w:t>
            </w:r>
          </w:p>
        </w:tc>
      </w:tr>
      <w:tr w14:paraId="3304A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dxa"/>
            <w:shd w:val="clear" w:color="auto" w:fill="auto"/>
            <w:vAlign w:val="center"/>
          </w:tcPr>
          <w:p w14:paraId="27828E1C">
            <w:pPr>
              <w:widowControl/>
              <w:numPr>
                <w:ilvl w:val="0"/>
                <w:numId w:val="1"/>
              </w:numPr>
              <w:ind w:left="0" w:leftChars="0" w:firstLine="0" w:firstLineChars="0"/>
              <w:rPr>
                <w:rFonts w:hint="eastAsia"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bidi="ar-SA"/>
              </w:rPr>
              <w:t>雅思写作</w:t>
            </w:r>
          </w:p>
          <w:p w14:paraId="1A05B12A">
            <w:pPr>
              <w:widowControl/>
              <w:rPr>
                <w:rFonts w:hint="eastAsia"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rPr>
              <w:t>UNIT 2 Travel &amp; Transport</w:t>
            </w:r>
          </w:p>
        </w:tc>
        <w:tc>
          <w:tcPr>
            <w:tcW w:w="2222" w:type="dxa"/>
            <w:shd w:val="clear" w:color="auto" w:fill="auto"/>
            <w:vAlign w:val="top"/>
          </w:tcPr>
          <w:p w14:paraId="7D66BC85">
            <w:pPr>
              <w:contextualSpacing/>
              <w:rPr>
                <w:rFonts w:hint="default" w:ascii="华文宋体" w:hAnsi="华文宋体" w:eastAsia="华文宋体" w:cs="华文宋体"/>
                <w:sz w:val="21"/>
                <w:szCs w:val="21"/>
                <w:highlight w:val="none"/>
                <w:lang w:val="en-US" w:eastAsia="zh-CN" w:bidi="ar-SA"/>
              </w:rPr>
            </w:pPr>
            <w:r>
              <w:rPr>
                <w:rFonts w:hint="default" w:ascii="华文宋体" w:hAnsi="华文宋体" w:eastAsia="华文宋体" w:cs="华文宋体"/>
                <w:sz w:val="21"/>
                <w:szCs w:val="21"/>
                <w:highlight w:val="none"/>
                <w:lang w:val="en-US"/>
              </w:rPr>
              <w:t>学生将能掌握表达同意与反对的常用短语，并运用其构建议论文主体段落。能够针对“旅行与交通”类话题规划并撰写逻辑清晰的议论文，同时正确运用可数/不可数名词等语法点。</w:t>
            </w:r>
          </w:p>
        </w:tc>
        <w:tc>
          <w:tcPr>
            <w:tcW w:w="2824" w:type="dxa"/>
            <w:shd w:val="clear" w:color="auto" w:fill="auto"/>
            <w:vAlign w:val="top"/>
          </w:tcPr>
          <w:p w14:paraId="79352828">
            <w:pPr>
              <w:contextualSpacing/>
              <w:rPr>
                <w:rFonts w:hint="default" w:ascii="华文宋体" w:hAnsi="华文宋体" w:eastAsia="华文宋体" w:cs="华文宋体"/>
                <w:sz w:val="21"/>
                <w:szCs w:val="21"/>
                <w:highlight w:val="none"/>
                <w:lang w:val="en-US" w:eastAsia="zh-CN" w:bidi="ar-SA"/>
              </w:rPr>
            </w:pPr>
            <w:r>
              <w:rPr>
                <w:rFonts w:hint="default" w:ascii="华文宋体" w:hAnsi="华文宋体" w:eastAsia="华文宋体" w:cs="华文宋体"/>
                <w:sz w:val="21"/>
                <w:szCs w:val="21"/>
                <w:highlight w:val="none"/>
                <w:lang w:val="en-US" w:eastAsia="zh-CN" w:bidi="ar-SA"/>
              </w:rPr>
              <w:t>核心知识包括议论文基本结构（引言-主体-结论）、表达立场的功能短语（如I strongly agree that.../One drawback is...）、以及“transportation”、“equipment”等主题相关可数/不可数名词的准确使用。</w:t>
            </w:r>
          </w:p>
        </w:tc>
        <w:tc>
          <w:tcPr>
            <w:tcW w:w="2009" w:type="dxa"/>
            <w:shd w:val="clear" w:color="auto" w:fill="auto"/>
            <w:vAlign w:val="center"/>
          </w:tcPr>
          <w:p w14:paraId="25B4BA2A">
            <w:pPr>
              <w:contextualSpacing/>
              <w:rPr>
                <w:rFonts w:hint="default" w:ascii="华文宋体" w:hAnsi="华文宋体" w:eastAsia="华文宋体" w:cs="华文宋体"/>
                <w:sz w:val="21"/>
                <w:szCs w:val="21"/>
                <w:highlight w:val="none"/>
                <w:lang w:val="en-US" w:eastAsia="zh-CN" w:bidi="ar-SA"/>
              </w:rPr>
            </w:pPr>
            <w:r>
              <w:rPr>
                <w:rFonts w:hint="default" w:ascii="华文宋体" w:hAnsi="华文宋体" w:eastAsia="华文宋体" w:cs="华文宋体"/>
                <w:sz w:val="21"/>
                <w:szCs w:val="21"/>
                <w:highlight w:val="none"/>
                <w:lang w:val="en-US" w:eastAsia="zh-CN" w:bidi="ar-SA"/>
              </w:rPr>
              <w:t>要求学生能快速审题并规划文章结构，使用丰富短语清晰表达支持/反对立场。具备撰写连贯段落、论证观点及准确运用名词数量的能力，以完成不少于250字的议论文。</w:t>
            </w:r>
          </w:p>
        </w:tc>
      </w:tr>
      <w:tr w14:paraId="7D419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dxa"/>
            <w:vAlign w:val="center"/>
          </w:tcPr>
          <w:p w14:paraId="141FE45D">
            <w:pPr>
              <w:widowControl/>
              <w:numPr>
                <w:ilvl w:val="0"/>
                <w:numId w:val="1"/>
              </w:numPr>
              <w:ind w:left="0" w:leftChars="0" w:firstLine="0" w:firstLineChars="0"/>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雅思阅读</w:t>
            </w:r>
          </w:p>
          <w:p w14:paraId="6F9554E3">
            <w:pPr>
              <w:widowControl/>
              <w:rPr>
                <w:rFonts w:hint="default"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UNIT 3 Food&amp;Healthy Lifestyle</w:t>
            </w:r>
          </w:p>
        </w:tc>
        <w:tc>
          <w:tcPr>
            <w:tcW w:w="2222" w:type="dxa"/>
          </w:tcPr>
          <w:p w14:paraId="2B2183C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华文宋体" w:hAnsi="华文宋体" w:eastAsia="华文宋体" w:cs="华文宋体"/>
                <w:sz w:val="21"/>
                <w:szCs w:val="21"/>
                <w:highlight w:val="none"/>
                <w:lang w:val="en-US"/>
              </w:rPr>
            </w:pPr>
            <w:r>
              <w:rPr>
                <w:rFonts w:hint="eastAsia" w:ascii="华文宋体" w:hAnsi="华文宋体" w:eastAsia="华文宋体" w:cs="华文宋体"/>
                <w:sz w:val="21"/>
                <w:szCs w:val="21"/>
                <w:highlight w:val="none"/>
                <w:lang w:val="en-US" w:eastAsia="zh-CN"/>
              </w:rPr>
              <w:t>学生将能理解笑声与幽默的进化、社会功能及心理学研究价值。掌握选择题、摘要填空及观点判断题型的解题技巧，并反思幽默在缓解压力、提升效率及社会交往中的普适作用。</w:t>
            </w:r>
          </w:p>
        </w:tc>
        <w:tc>
          <w:tcPr>
            <w:tcW w:w="2824" w:type="dxa"/>
          </w:tcPr>
          <w:p w14:paraId="2E76694F">
            <w:pPr>
              <w:contextualSpacing/>
              <w:rPr>
                <w:rFonts w:hint="default" w:ascii="华文宋体" w:hAnsi="华文宋体" w:eastAsia="华文宋体" w:cs="华文宋体"/>
                <w:sz w:val="21"/>
                <w:szCs w:val="21"/>
                <w:highlight w:val="none"/>
                <w:lang w:val="en-US"/>
              </w:rPr>
            </w:pPr>
            <w:r>
              <w:rPr>
                <w:rFonts w:hint="default" w:ascii="华文宋体" w:hAnsi="华文宋体" w:eastAsia="华文宋体" w:cs="华文宋体"/>
                <w:sz w:val="21"/>
                <w:szCs w:val="21"/>
                <w:highlight w:val="none"/>
                <w:lang w:val="en-US"/>
              </w:rPr>
              <w:t>核心知识包括笑声的普遍性、社会层级编码功能（主导/顺从型笑声）及幽默对完成繁琐任务的促进作用（补充心智资源）。关键实验发现如笑声识别准确率约60%。</w:t>
            </w:r>
          </w:p>
        </w:tc>
        <w:tc>
          <w:tcPr>
            <w:tcW w:w="2009" w:type="dxa"/>
            <w:vAlign w:val="center"/>
          </w:tcPr>
          <w:p w14:paraId="6D2F973F">
            <w:pPr>
              <w:contextualSpacing/>
              <w:rPr>
                <w:rFonts w:hint="default" w:ascii="华文宋体" w:hAnsi="华文宋体" w:eastAsia="华文宋体" w:cs="华文宋体"/>
                <w:sz w:val="21"/>
                <w:szCs w:val="21"/>
                <w:highlight w:val="none"/>
                <w:lang w:val="en-US"/>
              </w:rPr>
            </w:pPr>
            <w:r>
              <w:rPr>
                <w:rFonts w:hint="default" w:ascii="华文宋体" w:hAnsi="华文宋体" w:eastAsia="华文宋体" w:cs="华文宋体"/>
                <w:sz w:val="21"/>
                <w:szCs w:val="21"/>
                <w:highlight w:val="none"/>
                <w:lang w:val="en-US"/>
              </w:rPr>
              <w:t>要求学生能熟练处理选择题、摘要填空及观点判断（Y/N/NG）题型。具备推断词义、理解复杂长句结构及识别文中同义替换的能力，并能准确判断作者观点。</w:t>
            </w:r>
          </w:p>
        </w:tc>
      </w:tr>
      <w:tr w14:paraId="33F92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dxa"/>
            <w:vAlign w:val="center"/>
          </w:tcPr>
          <w:p w14:paraId="1DF64B16">
            <w:pPr>
              <w:widowControl/>
              <w:numPr>
                <w:ilvl w:val="0"/>
                <w:numId w:val="1"/>
              </w:numPr>
              <w:ind w:left="0" w:leftChars="0" w:firstLine="0" w:firstLineChars="0"/>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rPr>
              <w:t>雅思写作</w:t>
            </w:r>
          </w:p>
          <w:p w14:paraId="63EECEFB">
            <w:pPr>
              <w:widowControl/>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lang w:val="en-US" w:eastAsia="zh-CN"/>
              </w:rPr>
              <w:t>UNIT 3 Food&amp;Healthy Lifestyle</w:t>
            </w:r>
          </w:p>
        </w:tc>
        <w:tc>
          <w:tcPr>
            <w:tcW w:w="2222" w:type="dxa"/>
          </w:tcPr>
          <w:p w14:paraId="3C9BA851">
            <w:pPr>
              <w:contextualSpacing/>
              <w:rPr>
                <w:rFonts w:hint="default" w:ascii="华文宋体" w:hAnsi="华文宋体" w:eastAsia="华文宋体" w:cs="华文宋体"/>
                <w:sz w:val="21"/>
                <w:szCs w:val="21"/>
                <w:highlight w:val="none"/>
                <w:lang w:val="en-US"/>
              </w:rPr>
            </w:pPr>
            <w:r>
              <w:rPr>
                <w:rFonts w:hint="eastAsia" w:ascii="华文宋体" w:hAnsi="华文宋体" w:eastAsia="华文宋体" w:cs="华文宋体"/>
                <w:sz w:val="21"/>
                <w:szCs w:val="21"/>
                <w:highlight w:val="none"/>
                <w:lang w:val="en-US" w:eastAsia="zh-CN"/>
              </w:rPr>
              <w:t>学生将能掌握描述数据趋势的核心词汇，并运用简单、完成、进行时态准确描述食品消费与健康生活方式图表的变化。能够按照Task 1结构，撰写一篇关于饮食趋势的连贯摘要。</w:t>
            </w:r>
          </w:p>
        </w:tc>
        <w:tc>
          <w:tcPr>
            <w:tcW w:w="2824" w:type="dxa"/>
          </w:tcPr>
          <w:p w14:paraId="2836A6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华文宋体" w:hAnsi="华文宋体" w:eastAsia="华文宋体" w:cs="华文宋体"/>
                <w:i w:val="0"/>
                <w:iCs w:val="0"/>
                <w:caps w:val="0"/>
                <w:color w:val="1F1F1F"/>
                <w:spacing w:val="0"/>
                <w:sz w:val="21"/>
                <w:szCs w:val="21"/>
                <w:highlight w:val="none"/>
                <w:shd w:val="clear" w:fill="FFFFFF"/>
                <w:lang w:val="en-US"/>
              </w:rPr>
            </w:pPr>
            <w:r>
              <w:rPr>
                <w:rFonts w:hint="default" w:ascii="华文宋体" w:hAnsi="华文宋体" w:eastAsia="华文宋体" w:cs="华文宋体"/>
                <w:i w:val="0"/>
                <w:iCs w:val="0"/>
                <w:caps w:val="0"/>
                <w:color w:val="1F1F1F"/>
                <w:spacing w:val="0"/>
                <w:sz w:val="21"/>
                <w:szCs w:val="21"/>
                <w:highlight w:val="none"/>
                <w:shd w:val="clear" w:fill="FFFFFF"/>
                <w:lang w:val="en-US"/>
              </w:rPr>
              <w:t>核心知识包括上升/下降/平稳波动等趋势动词名词（如soar, decline, fluctuation）、Task 1四段式结构（引言-概述-细节-细节）、以及三种时态在描述不同时间数据时的正确运用。</w:t>
            </w:r>
          </w:p>
        </w:tc>
        <w:tc>
          <w:tcPr>
            <w:tcW w:w="2009" w:type="dxa"/>
            <w:vAlign w:val="center"/>
          </w:tcPr>
          <w:p w14:paraId="4142EAE8">
            <w:pPr>
              <w:contextualSpacing/>
              <w:rPr>
                <w:rFonts w:hint="default" w:ascii="华文宋体" w:hAnsi="华文宋体" w:eastAsia="华文宋体" w:cs="华文宋体"/>
                <w:sz w:val="21"/>
                <w:szCs w:val="21"/>
                <w:highlight w:val="none"/>
                <w:lang w:val="en-US"/>
              </w:rPr>
            </w:pPr>
            <w:r>
              <w:rPr>
                <w:rFonts w:hint="default" w:ascii="华文宋体" w:hAnsi="华文宋体" w:eastAsia="华文宋体" w:cs="华文宋体"/>
                <w:sz w:val="21"/>
                <w:szCs w:val="21"/>
                <w:highlight w:val="none"/>
                <w:lang w:val="en-US"/>
              </w:rPr>
              <w:t>要求学生能快速识别图表关键趋势，运用趋势词汇和恰当语法进行描述。具备在20分钟内组织一篇超过150字、数据选取合理、时态准确、逻辑清晰的图表摘要的能力。</w:t>
            </w:r>
          </w:p>
        </w:tc>
      </w:tr>
      <w:tr w14:paraId="0EBD7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dxa"/>
            <w:vAlign w:val="center"/>
          </w:tcPr>
          <w:p w14:paraId="65B5A19D">
            <w:pPr>
              <w:widowControl/>
              <w:numPr>
                <w:ilvl w:val="0"/>
                <w:numId w:val="1"/>
              </w:numPr>
              <w:ind w:left="0" w:leftChars="0" w:firstLine="0" w:firstLineChars="0"/>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雅思阅读</w:t>
            </w:r>
          </w:p>
          <w:p w14:paraId="6B6287D3">
            <w:pPr>
              <w:widowControl/>
              <w:rPr>
                <w:rFonts w:hint="default"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UNIT 4 Culture&amp;Traditions</w:t>
            </w:r>
          </w:p>
        </w:tc>
        <w:tc>
          <w:tcPr>
            <w:tcW w:w="2222" w:type="dxa"/>
          </w:tcPr>
          <w:p w14:paraId="5B77B22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eastAsia"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学生将能识别全球主要节日（如春节、排灯节）的文化细节与象征意义，掌握匹配标题、多项选择及笔记填空的解题技巧，并理解节日作为文化传承与社会纽带的核心价值。</w:t>
            </w:r>
          </w:p>
        </w:tc>
        <w:tc>
          <w:tcPr>
            <w:tcW w:w="2824" w:type="dxa"/>
          </w:tcPr>
          <w:p w14:paraId="6CDE4B00">
            <w:pPr>
              <w:contextualSpacing/>
              <w:rPr>
                <w:rFonts w:hint="default" w:ascii="华文宋体" w:hAnsi="华文宋体" w:eastAsia="华文宋体" w:cs="华文宋体"/>
                <w:i w:val="0"/>
                <w:iCs w:val="0"/>
                <w:caps w:val="0"/>
                <w:color w:val="1F1F1F"/>
                <w:spacing w:val="0"/>
                <w:sz w:val="21"/>
                <w:szCs w:val="21"/>
                <w:highlight w:val="none"/>
                <w:shd w:val="clear" w:fill="FFFFFF"/>
                <w:lang w:val="en-US" w:eastAsia="zh-CN"/>
              </w:rPr>
            </w:pPr>
            <w:r>
              <w:rPr>
                <w:rFonts w:hint="default" w:ascii="华文宋体" w:hAnsi="华文宋体" w:eastAsia="华文宋体" w:cs="华文宋体"/>
                <w:i w:val="0"/>
                <w:iCs w:val="0"/>
                <w:caps w:val="0"/>
                <w:color w:val="1F1F1F"/>
                <w:spacing w:val="0"/>
                <w:sz w:val="21"/>
                <w:szCs w:val="21"/>
                <w:highlight w:val="none"/>
                <w:shd w:val="clear" w:fill="FFFFFF"/>
                <w:lang w:val="en-US" w:eastAsia="zh-CN"/>
              </w:rPr>
              <w:t>核心知识包括各节日（新年、排灯节、农历新年、威尼斯狂欢节等）的关键信息、文化术语（如rangoli, diyas, zodiac）、以及三种题型的定位与推理方法。</w:t>
            </w:r>
          </w:p>
        </w:tc>
        <w:tc>
          <w:tcPr>
            <w:tcW w:w="2009" w:type="dxa"/>
            <w:vAlign w:val="center"/>
          </w:tcPr>
          <w:p w14:paraId="6A0A7406">
            <w:pPr>
              <w:contextualSpacing/>
              <w:rPr>
                <w:rFonts w:hint="default" w:ascii="华文宋体" w:hAnsi="华文宋体" w:eastAsia="华文宋体" w:cs="华文宋体"/>
                <w:sz w:val="21"/>
                <w:szCs w:val="21"/>
                <w:highlight w:val="none"/>
                <w:lang w:val="en-US"/>
              </w:rPr>
            </w:pPr>
            <w:r>
              <w:rPr>
                <w:rFonts w:hint="default" w:ascii="华文宋体" w:hAnsi="华文宋体" w:eastAsia="华文宋体" w:cs="华文宋体"/>
                <w:sz w:val="21"/>
                <w:szCs w:val="21"/>
                <w:highlight w:val="none"/>
                <w:lang w:val="en-US"/>
              </w:rPr>
              <w:t>要求学生能快速浏览匹配段落主旨，精准定位细节完成笔记填空，并能分析复杂句理解文化内涵。具备在限时内高效完成阅读题并保证准确率的能力。</w:t>
            </w:r>
          </w:p>
        </w:tc>
      </w:tr>
      <w:tr w14:paraId="75B9A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dxa"/>
            <w:shd w:val="clear" w:color="auto" w:fill="auto"/>
            <w:vAlign w:val="center"/>
          </w:tcPr>
          <w:p w14:paraId="675D18D1">
            <w:pPr>
              <w:widowControl/>
              <w:numPr>
                <w:ilvl w:val="0"/>
                <w:numId w:val="1"/>
              </w:numPr>
              <w:ind w:left="0" w:leftChars="0" w:firstLine="0" w:firstLineChars="0"/>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kern w:val="0"/>
                <w:sz w:val="21"/>
                <w:szCs w:val="21"/>
                <w:highlight w:val="none"/>
                <w:lang w:val="en-US" w:eastAsia="zh-CN"/>
              </w:rPr>
              <w:t>过程考X2</w:t>
            </w:r>
          </w:p>
        </w:tc>
        <w:tc>
          <w:tcPr>
            <w:tcW w:w="2222" w:type="dxa"/>
            <w:shd w:val="clear" w:color="auto" w:fill="auto"/>
            <w:vAlign w:val="top"/>
          </w:tcPr>
          <w:p w14:paraId="12DE7B44">
            <w:pPr>
              <w:contextualSpacing/>
              <w:rPr>
                <w:rFonts w:hint="eastAsia"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rPr>
              <w:t>要求学生熟练掌握前九周的阅读及大小作文写作常用词汇，掌握阅读及写作技巧。测试分阅读和写作听力和两部分，采用线上测试。</w:t>
            </w:r>
          </w:p>
        </w:tc>
        <w:tc>
          <w:tcPr>
            <w:tcW w:w="2824" w:type="dxa"/>
            <w:shd w:val="clear" w:color="auto" w:fill="auto"/>
            <w:vAlign w:val="top"/>
          </w:tcPr>
          <w:p w14:paraId="149492A8">
            <w:pPr>
              <w:contextualSpacing/>
              <w:rPr>
                <w:rFonts w:hint="eastAsia"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rPr>
              <w:t>雅思阅读词汇短语及写作词汇概括和记忆，阅读写作技巧。</w:t>
            </w:r>
          </w:p>
        </w:tc>
        <w:tc>
          <w:tcPr>
            <w:tcW w:w="2009" w:type="dxa"/>
            <w:vAlign w:val="center"/>
          </w:tcPr>
          <w:p w14:paraId="33109039">
            <w:pPr>
              <w:contextualSpacing/>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lang w:val="en-US" w:eastAsia="zh-CN" w:bidi="ar-SA"/>
              </w:rPr>
              <w:t>具备综合和复习所学内容的能力</w:t>
            </w:r>
          </w:p>
        </w:tc>
      </w:tr>
      <w:tr w14:paraId="1C4FC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415" w:type="dxa"/>
            <w:vAlign w:val="center"/>
          </w:tcPr>
          <w:p w14:paraId="685EA76B">
            <w:pPr>
              <w:widowControl/>
              <w:numPr>
                <w:ilvl w:val="0"/>
                <w:numId w:val="1"/>
              </w:numPr>
              <w:ind w:left="0" w:leftChars="0" w:firstLine="0" w:firstLineChars="0"/>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rPr>
              <w:t>雅思写作</w:t>
            </w:r>
          </w:p>
          <w:p w14:paraId="6111E003">
            <w:pPr>
              <w:widowControl/>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lang w:val="en-US" w:eastAsia="zh-CN"/>
              </w:rPr>
              <w:t>UNIT 4 Culture&amp;Traditions</w:t>
            </w:r>
            <w:r>
              <w:rPr>
                <w:rFonts w:hint="eastAsia" w:ascii="华文宋体" w:hAnsi="华文宋体" w:eastAsia="华文宋体" w:cs="华文宋体"/>
                <w:sz w:val="21"/>
                <w:szCs w:val="21"/>
                <w:highlight w:val="none"/>
              </w:rPr>
              <w:t xml:space="preserve"> </w:t>
            </w:r>
          </w:p>
        </w:tc>
        <w:tc>
          <w:tcPr>
            <w:tcW w:w="2222" w:type="dxa"/>
          </w:tcPr>
          <w:p w14:paraId="71E7AB1A">
            <w:pPr>
              <w:contextualSpacing/>
              <w:rPr>
                <w:rFonts w:hint="default" w:ascii="华文宋体" w:hAnsi="华文宋体" w:eastAsia="华文宋体" w:cs="华文宋体"/>
                <w:sz w:val="21"/>
                <w:szCs w:val="21"/>
                <w:highlight w:val="none"/>
                <w:lang w:val="en-US"/>
              </w:rPr>
            </w:pPr>
            <w:r>
              <w:rPr>
                <w:rFonts w:hint="eastAsia" w:ascii="华文宋体" w:hAnsi="华文宋体" w:eastAsia="华文宋体" w:cs="华文宋体"/>
                <w:sz w:val="21"/>
                <w:szCs w:val="21"/>
                <w:highlight w:val="none"/>
                <w:lang w:val="en-US" w:eastAsia="zh-CN"/>
              </w:rPr>
              <w:t xml:space="preserve"> 学生将能掌握并运用各类连接词以增强议论文的逻辑性与连贯性。能够针对节日与传统类议题，撰写结构清晰的同意或反对型文章，并正确使用条件句进行假设论证。</w:t>
            </w:r>
          </w:p>
        </w:tc>
        <w:tc>
          <w:tcPr>
            <w:tcW w:w="2824" w:type="dxa"/>
          </w:tcPr>
          <w:p w14:paraId="6BFB700C">
            <w:pPr>
              <w:contextualSpacing/>
              <w:rPr>
                <w:rFonts w:hint="default" w:ascii="华文宋体" w:hAnsi="华文宋体" w:eastAsia="华文宋体" w:cs="华文宋体"/>
                <w:sz w:val="21"/>
                <w:szCs w:val="21"/>
                <w:highlight w:val="none"/>
                <w:lang w:val="en-US" w:eastAsia="zh-CN"/>
              </w:rPr>
            </w:pPr>
            <w:r>
              <w:rPr>
                <w:rFonts w:hint="default" w:ascii="华文宋体" w:hAnsi="华文宋体" w:eastAsia="华文宋体" w:cs="华文宋体"/>
                <w:sz w:val="21"/>
                <w:szCs w:val="21"/>
                <w:highlight w:val="none"/>
                <w:lang w:val="en-US" w:eastAsia="zh-CN"/>
              </w:rPr>
              <w:t>核心知识包括对比、因果、举例等逻辑连接词（e.g., whereas, consequently, for instance），同意/反对型文章的四段式结构，以及真实与非真实条件句（if条件句）的正确运用。</w:t>
            </w:r>
          </w:p>
        </w:tc>
        <w:tc>
          <w:tcPr>
            <w:tcW w:w="2009" w:type="dxa"/>
            <w:vAlign w:val="center"/>
          </w:tcPr>
          <w:p w14:paraId="374369B5">
            <w:pPr>
              <w:contextualSpacing/>
              <w:rPr>
                <w:rFonts w:hint="default" w:ascii="华文宋体" w:hAnsi="华文宋体" w:eastAsia="华文宋体" w:cs="华文宋体"/>
                <w:sz w:val="21"/>
                <w:szCs w:val="21"/>
                <w:highlight w:val="none"/>
                <w:lang w:val="en-US"/>
              </w:rPr>
            </w:pPr>
            <w:r>
              <w:rPr>
                <w:rFonts w:hint="default" w:ascii="华文宋体" w:hAnsi="华文宋体" w:eastAsia="华文宋体" w:cs="华文宋体"/>
                <w:sz w:val="21"/>
                <w:szCs w:val="21"/>
                <w:highlight w:val="none"/>
                <w:lang w:val="en-US"/>
              </w:rPr>
              <w:t>要求学生能运用连接词流畅衔接论点，并运用条件句进行复杂论证。具备在40分钟内规划并完成一篇立场明确、结构严谨、语法多样且不少于250字的议论文的能力。</w:t>
            </w:r>
          </w:p>
        </w:tc>
      </w:tr>
      <w:tr w14:paraId="2E565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dxa"/>
            <w:shd w:val="clear" w:color="auto" w:fill="auto"/>
            <w:vAlign w:val="center"/>
          </w:tcPr>
          <w:p w14:paraId="24B6DB45">
            <w:pPr>
              <w:widowControl/>
              <w:numPr>
                <w:ilvl w:val="0"/>
                <w:numId w:val="1"/>
              </w:numPr>
              <w:ind w:left="0" w:leftChars="0" w:firstLine="0" w:firstLineChars="0"/>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雅思阅读</w:t>
            </w:r>
          </w:p>
          <w:p w14:paraId="17211C3D">
            <w:pPr>
              <w:widowControl/>
              <w:rPr>
                <w:rFonts w:hint="eastAsia"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bidi="ar-SA"/>
              </w:rPr>
              <w:t>UNIT 5 Shopping</w:t>
            </w:r>
          </w:p>
          <w:p w14:paraId="19E5B494">
            <w:pPr>
              <w:widowControl/>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bidi="ar-SA"/>
              </w:rPr>
              <w:t>&amp;Consumerism</w:t>
            </w:r>
          </w:p>
        </w:tc>
        <w:tc>
          <w:tcPr>
            <w:tcW w:w="2222" w:type="dxa"/>
            <w:shd w:val="clear" w:color="auto" w:fill="auto"/>
            <w:vAlign w:val="top"/>
          </w:tcPr>
          <w:p w14:paraId="1382D952">
            <w:pPr>
              <w:contextualSpacing/>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bidi="ar-SA"/>
              </w:rPr>
              <w:t xml:space="preserve"> 学生将能理解购物中心转型的驱动因素（如电商冲击、消费习惯变化）及创新策略（多功能社区中心、体验经济、科技融合），并掌握匹配标题、多项选择及摘要填空的解题技巧。</w:t>
            </w:r>
          </w:p>
        </w:tc>
        <w:tc>
          <w:tcPr>
            <w:tcW w:w="2824" w:type="dxa"/>
            <w:shd w:val="clear" w:color="auto" w:fill="auto"/>
            <w:vAlign w:val="top"/>
          </w:tcPr>
          <w:p w14:paraId="259CE57D">
            <w:pPr>
              <w:contextualSpacing/>
              <w:rPr>
                <w:rFonts w:hint="default" w:ascii="华文宋体" w:hAnsi="华文宋体" w:eastAsia="华文宋体" w:cs="华文宋体"/>
                <w:sz w:val="21"/>
                <w:szCs w:val="21"/>
                <w:highlight w:val="none"/>
                <w:lang w:val="en-US" w:eastAsia="zh-CN" w:bidi="ar-SA"/>
              </w:rPr>
            </w:pPr>
            <w:r>
              <w:rPr>
                <w:rFonts w:hint="default" w:ascii="华文宋体" w:hAnsi="华文宋体" w:eastAsia="华文宋体" w:cs="华文宋体"/>
                <w:sz w:val="21"/>
                <w:szCs w:val="21"/>
                <w:highlight w:val="none"/>
                <w:lang w:val="en-US" w:eastAsia="zh-CN" w:bidi="ar-SA"/>
              </w:rPr>
              <w:t>核心知识包括转型核心概念（如mixed-use, omnichannel retail, experiential economy）、关键技术（AI, AR, 数据分析）及可持续发展实践（绿色建筑、节能系统）。关键案例与术语如Victor Gruen的原始愿景。</w:t>
            </w:r>
          </w:p>
        </w:tc>
        <w:tc>
          <w:tcPr>
            <w:tcW w:w="2009" w:type="dxa"/>
            <w:shd w:val="clear" w:color="auto" w:fill="auto"/>
            <w:vAlign w:val="center"/>
          </w:tcPr>
          <w:p w14:paraId="040CD821">
            <w:pPr>
              <w:contextualSpacing/>
              <w:rPr>
                <w:rFonts w:hint="default" w:ascii="华文宋体" w:hAnsi="华文宋体" w:eastAsia="华文宋体" w:cs="华文宋体"/>
                <w:sz w:val="21"/>
                <w:szCs w:val="21"/>
                <w:highlight w:val="none"/>
                <w:lang w:val="en-US" w:eastAsia="zh-CN" w:bidi="ar-SA"/>
              </w:rPr>
            </w:pPr>
            <w:r>
              <w:rPr>
                <w:rFonts w:hint="default" w:ascii="华文宋体" w:hAnsi="华文宋体" w:eastAsia="华文宋体" w:cs="华文宋体"/>
                <w:sz w:val="21"/>
                <w:szCs w:val="21"/>
                <w:highlight w:val="none"/>
                <w:lang w:val="en-US" w:eastAsia="zh-CN" w:bidi="ar-SA"/>
              </w:rPr>
              <w:t>要求学生能快速匹配段落主旨，精准定位细节完成摘要，并能分析长难句理解转型逻辑。具备在限时内高效完成相关阅读题型并保证准确率的能力。</w:t>
            </w:r>
          </w:p>
        </w:tc>
      </w:tr>
      <w:tr w14:paraId="0567D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dxa"/>
            <w:vAlign w:val="center"/>
          </w:tcPr>
          <w:p w14:paraId="459513D6">
            <w:pPr>
              <w:widowControl/>
              <w:numPr>
                <w:ilvl w:val="0"/>
                <w:numId w:val="1"/>
              </w:numPr>
              <w:ind w:left="0" w:leftChars="0" w:firstLine="0" w:firstLineChars="0"/>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rPr>
              <w:t>雅思写作</w:t>
            </w:r>
          </w:p>
          <w:p w14:paraId="0F10B372">
            <w:pPr>
              <w:widowControl/>
              <w:rPr>
                <w:rFonts w:hint="eastAsia"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bidi="ar-SA"/>
              </w:rPr>
              <w:t>UNIT 5 Shopping</w:t>
            </w:r>
          </w:p>
          <w:p w14:paraId="30CB93FC">
            <w:pPr>
              <w:widowControl/>
              <w:rPr>
                <w:rFonts w:hint="default"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bidi="ar-SA"/>
              </w:rPr>
              <w:t>&amp;Consumerism</w:t>
            </w:r>
          </w:p>
        </w:tc>
        <w:tc>
          <w:tcPr>
            <w:tcW w:w="2222" w:type="dxa"/>
          </w:tcPr>
          <w:p w14:paraId="2D484B1E">
            <w:pPr>
              <w:contextualSpacing/>
              <w:rPr>
                <w:rFonts w:hint="default" w:ascii="华文宋体" w:hAnsi="华文宋体" w:eastAsia="华文宋体" w:cs="华文宋体"/>
                <w:sz w:val="21"/>
                <w:szCs w:val="21"/>
                <w:highlight w:val="none"/>
                <w:lang w:val="en-US"/>
              </w:rPr>
            </w:pPr>
            <w:r>
              <w:rPr>
                <w:rFonts w:hint="eastAsia" w:ascii="华文宋体" w:hAnsi="华文宋体" w:eastAsia="华文宋体" w:cs="华文宋体"/>
                <w:sz w:val="21"/>
                <w:szCs w:val="21"/>
                <w:highlight w:val="none"/>
                <w:lang w:val="en-US" w:eastAsia="zh-CN"/>
              </w:rPr>
              <w:t xml:space="preserve"> 学生将能掌握流程图的写作方法，运用顺序性词汇清晰描述购物与消费类过程的各个阶段，并能准确使用被动语态来突出过程的客观性与步骤。</w:t>
            </w:r>
          </w:p>
        </w:tc>
        <w:tc>
          <w:tcPr>
            <w:tcW w:w="2824" w:type="dxa"/>
          </w:tcPr>
          <w:p w14:paraId="57BC93E0">
            <w:pPr>
              <w:contextualSpacing/>
              <w:rPr>
                <w:rFonts w:hint="default" w:ascii="华文宋体" w:hAnsi="华文宋体" w:eastAsia="华文宋体" w:cs="华文宋体"/>
                <w:sz w:val="21"/>
                <w:szCs w:val="21"/>
                <w:highlight w:val="none"/>
                <w:lang w:val="en-US"/>
              </w:rPr>
            </w:pPr>
            <w:r>
              <w:rPr>
                <w:rFonts w:hint="default" w:ascii="华文宋体" w:hAnsi="华文宋体" w:eastAsia="华文宋体" w:cs="华文宋体"/>
                <w:sz w:val="21"/>
                <w:szCs w:val="21"/>
                <w:highlight w:val="none"/>
                <w:lang w:val="en-US"/>
              </w:rPr>
              <w:t>核心知识包括描述过程的顺序词（如Firstly, Subsequently, Finally）、流程图的四段式写作结构（引言-总览-分步描述-总结）、以及被动语态在描述制造或消费流程中的正确应用。</w:t>
            </w:r>
          </w:p>
        </w:tc>
        <w:tc>
          <w:tcPr>
            <w:tcW w:w="2009" w:type="dxa"/>
            <w:vAlign w:val="center"/>
          </w:tcPr>
          <w:p w14:paraId="627E4CB6">
            <w:pPr>
              <w:contextualSpacing/>
              <w:rPr>
                <w:rFonts w:hint="default" w:ascii="华文宋体" w:hAnsi="华文宋体" w:eastAsia="华文宋体" w:cs="华文宋体"/>
                <w:sz w:val="21"/>
                <w:szCs w:val="21"/>
                <w:highlight w:val="none"/>
                <w:lang w:val="en-US"/>
              </w:rPr>
            </w:pPr>
            <w:r>
              <w:rPr>
                <w:rFonts w:hint="default" w:ascii="华文宋体" w:hAnsi="华文宋体" w:eastAsia="华文宋体" w:cs="华文宋体"/>
                <w:sz w:val="21"/>
                <w:szCs w:val="21"/>
                <w:highlight w:val="none"/>
                <w:lang w:val="en-US"/>
              </w:rPr>
              <w:t>要求学生能快速解析流程图步骤，运用顺序词和被动语态进行客观描述。具备在20分钟内完成一篇超过150字、步骤描述准确、逻辑连贯的流程图概要的能力。</w:t>
            </w:r>
          </w:p>
        </w:tc>
      </w:tr>
      <w:tr w14:paraId="45729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dxa"/>
            <w:vAlign w:val="center"/>
          </w:tcPr>
          <w:p w14:paraId="24B4FC57">
            <w:pPr>
              <w:widowControl/>
              <w:numPr>
                <w:ilvl w:val="0"/>
                <w:numId w:val="1"/>
              </w:numPr>
              <w:ind w:left="0" w:leftChars="0" w:firstLine="0" w:firstLineChars="0"/>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雅思阅读</w:t>
            </w:r>
          </w:p>
          <w:p w14:paraId="514ABAA1">
            <w:pPr>
              <w:widowControl/>
              <w:rPr>
                <w:rFonts w:hint="eastAsia"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UNIT 6</w:t>
            </w:r>
          </w:p>
          <w:p w14:paraId="41C45063">
            <w:pPr>
              <w:widowControl/>
              <w:rPr>
                <w:rFonts w:hint="default"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Animals &amp;Nature</w:t>
            </w:r>
          </w:p>
        </w:tc>
        <w:tc>
          <w:tcPr>
            <w:tcW w:w="2222" w:type="dxa"/>
          </w:tcPr>
          <w:p w14:paraId="34D2417E">
            <w:pPr>
              <w:contextualSpacing/>
              <w:rPr>
                <w:rFonts w:hint="eastAsia"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 xml:space="preserve"> 学生将能掌握昆虫标本采集与分类的核心术语，理解针对不同研究目标（分类学/生态学）的采集方法差异。认识严谨的野外工作伦理及多学科协作在科学研究中的价值。</w:t>
            </w:r>
          </w:p>
        </w:tc>
        <w:tc>
          <w:tcPr>
            <w:tcW w:w="2824" w:type="dxa"/>
          </w:tcPr>
          <w:p w14:paraId="0D68CA18">
            <w:pPr>
              <w:contextualSpacing/>
              <w:rPr>
                <w:rFonts w:hint="default" w:ascii="华文宋体" w:hAnsi="华文宋体" w:eastAsia="华文宋体" w:cs="华文宋体"/>
                <w:sz w:val="21"/>
                <w:szCs w:val="21"/>
                <w:highlight w:val="none"/>
                <w:lang w:val="en-US" w:eastAsia="zh-CN"/>
              </w:rPr>
            </w:pPr>
            <w:r>
              <w:rPr>
                <w:rFonts w:hint="default" w:ascii="华文宋体" w:hAnsi="华文宋体" w:eastAsia="华文宋体" w:cs="华文宋体"/>
                <w:sz w:val="21"/>
                <w:szCs w:val="21"/>
                <w:highlight w:val="none"/>
                <w:lang w:val="en-US" w:eastAsia="zh-CN"/>
              </w:rPr>
              <w:t>核心知识包括蚂蚁社会等级（caste）、四种主要采集方法（手采、诱饵、落叶层采样、陷阱法）及标本保存与制作流程（乙醇保存、三角卡点制）。关键区别如日行与夜行物种。</w:t>
            </w:r>
          </w:p>
        </w:tc>
        <w:tc>
          <w:tcPr>
            <w:tcW w:w="2009" w:type="dxa"/>
            <w:vAlign w:val="center"/>
          </w:tcPr>
          <w:p w14:paraId="79D52F4F">
            <w:pPr>
              <w:contextualSpacing/>
              <w:rPr>
                <w:rFonts w:hint="default" w:ascii="华文宋体" w:hAnsi="华文宋体" w:eastAsia="华文宋体" w:cs="华文宋体"/>
                <w:sz w:val="21"/>
                <w:szCs w:val="21"/>
                <w:highlight w:val="none"/>
                <w:lang w:val="en-US"/>
              </w:rPr>
            </w:pPr>
            <w:r>
              <w:rPr>
                <w:rFonts w:hint="default" w:ascii="华文宋体" w:hAnsi="华文宋体" w:eastAsia="华文宋体" w:cs="华文宋体"/>
                <w:sz w:val="21"/>
                <w:szCs w:val="21"/>
                <w:highlight w:val="none"/>
                <w:lang w:val="en-US"/>
              </w:rPr>
              <w:t>要求学生能熟练完成流程图填空、判断题及分类题。具备从程序性描述中提取具体细节、比较方法优劣的能力，并能理解复杂指令和科学原理背后的逻辑。</w:t>
            </w:r>
          </w:p>
        </w:tc>
      </w:tr>
      <w:tr w14:paraId="436E8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dxa"/>
            <w:vAlign w:val="center"/>
          </w:tcPr>
          <w:p w14:paraId="0E01914A">
            <w:pPr>
              <w:widowControl/>
              <w:numPr>
                <w:ilvl w:val="0"/>
                <w:numId w:val="1"/>
              </w:numPr>
              <w:ind w:left="0" w:leftChars="0" w:firstLine="0" w:firstLineChars="0"/>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rPr>
              <w:t>雅思写作</w:t>
            </w:r>
          </w:p>
          <w:p w14:paraId="3EA60B39">
            <w:pPr>
              <w:widowControl/>
              <w:rPr>
                <w:rFonts w:hint="eastAsia"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UNIT 6</w:t>
            </w:r>
          </w:p>
          <w:p w14:paraId="4972C1B2">
            <w:pPr>
              <w:widowControl/>
              <w:rPr>
                <w:rFonts w:hint="default"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Animals &amp;Nature</w:t>
            </w:r>
          </w:p>
        </w:tc>
        <w:tc>
          <w:tcPr>
            <w:tcW w:w="2222" w:type="dxa"/>
          </w:tcPr>
          <w:p w14:paraId="4C6173A4">
            <w:pPr>
              <w:contextualSpacing/>
              <w:rPr>
                <w:rFonts w:hint="eastAsia"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 xml:space="preserve"> 学生将能掌握利弊议论文的写作结构，运用相关词汇客观分析环境与自然议题的双面性，并能正确使用关系代词及定语从句来丰富句子结构，增强论证的深度和复杂性。</w:t>
            </w:r>
          </w:p>
        </w:tc>
        <w:tc>
          <w:tcPr>
            <w:tcW w:w="2824" w:type="dxa"/>
          </w:tcPr>
          <w:p w14:paraId="5FA02FA6">
            <w:pPr>
              <w:contextualSpacing/>
              <w:rPr>
                <w:rFonts w:hint="default" w:ascii="华文宋体" w:hAnsi="华文宋体" w:eastAsia="华文宋体" w:cs="华文宋体"/>
                <w:sz w:val="21"/>
                <w:szCs w:val="21"/>
                <w:highlight w:val="none"/>
                <w:lang w:val="en-US" w:eastAsia="zh-CN"/>
              </w:rPr>
            </w:pPr>
            <w:r>
              <w:rPr>
                <w:rFonts w:hint="default" w:ascii="华文宋体" w:hAnsi="华文宋体" w:eastAsia="华文宋体" w:cs="华文宋体"/>
                <w:sz w:val="21"/>
                <w:szCs w:val="21"/>
                <w:highlight w:val="none"/>
                <w:lang w:val="en-US" w:eastAsia="zh-CN"/>
              </w:rPr>
              <w:t>核心知识包括表达优缺点的高频词汇（e.g., a major drawback, a significant benefit）、利弊型议论文的四段式结构、以及关系代词（which, that, where等）引导的定语从句的准确运用。</w:t>
            </w:r>
          </w:p>
        </w:tc>
        <w:tc>
          <w:tcPr>
            <w:tcW w:w="2009" w:type="dxa"/>
            <w:vAlign w:val="center"/>
          </w:tcPr>
          <w:p w14:paraId="562744FC">
            <w:pPr>
              <w:contextualSpacing/>
              <w:rPr>
                <w:rFonts w:hint="default" w:ascii="华文宋体" w:hAnsi="华文宋体" w:eastAsia="华文宋体" w:cs="华文宋体"/>
                <w:sz w:val="21"/>
                <w:szCs w:val="21"/>
                <w:highlight w:val="none"/>
                <w:lang w:val="en-US"/>
              </w:rPr>
            </w:pPr>
            <w:r>
              <w:rPr>
                <w:rFonts w:hint="default" w:ascii="华文宋体" w:hAnsi="华文宋体" w:eastAsia="华文宋体" w:cs="华文宋体"/>
                <w:sz w:val="21"/>
                <w:szCs w:val="21"/>
                <w:highlight w:val="none"/>
                <w:lang w:val="en-US"/>
              </w:rPr>
              <w:t>要求学生能辩证分析环境议题的利弊，运用关系从句连接和扩展观点。具备在40分钟内完成一篇结构清晰、论证均衡、语言准确且不少于250字的议论文的能力。</w:t>
            </w:r>
          </w:p>
        </w:tc>
      </w:tr>
      <w:tr w14:paraId="6FA4F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dxa"/>
            <w:vAlign w:val="center"/>
          </w:tcPr>
          <w:p w14:paraId="3DD79D78">
            <w:pPr>
              <w:widowControl/>
              <w:numPr>
                <w:ilvl w:val="0"/>
                <w:numId w:val="1"/>
              </w:numPr>
              <w:ind w:left="0" w:leftChars="0" w:firstLine="0" w:firstLineChars="0"/>
              <w:rPr>
                <w:rFonts w:hint="eastAsia" w:ascii="华文宋体" w:hAnsi="华文宋体" w:eastAsia="华文宋体" w:cs="华文宋体"/>
                <w:b w:val="0"/>
                <w:bCs w:val="0"/>
                <w:sz w:val="21"/>
                <w:szCs w:val="21"/>
                <w:highlight w:val="none"/>
                <w:lang w:val="en-US" w:eastAsia="zh-Hans"/>
              </w:rPr>
            </w:pPr>
            <w:r>
              <w:rPr>
                <w:rFonts w:hint="eastAsia" w:ascii="华文宋体" w:hAnsi="华文宋体" w:eastAsia="华文宋体" w:cs="华文宋体"/>
                <w:b w:val="0"/>
                <w:bCs w:val="0"/>
                <w:sz w:val="21"/>
                <w:szCs w:val="21"/>
                <w:highlight w:val="none"/>
                <w:lang w:val="en-US" w:eastAsia="zh-Hans"/>
              </w:rPr>
              <w:t>雅思</w:t>
            </w:r>
            <w:r>
              <w:rPr>
                <w:rFonts w:hint="eastAsia" w:ascii="华文宋体" w:hAnsi="华文宋体" w:eastAsia="华文宋体" w:cs="华文宋体"/>
                <w:b w:val="0"/>
                <w:bCs w:val="0"/>
                <w:sz w:val="21"/>
                <w:szCs w:val="21"/>
                <w:highlight w:val="none"/>
                <w:lang w:val="en-US" w:eastAsia="zh-CN"/>
              </w:rPr>
              <w:t>阅读与写作</w:t>
            </w:r>
            <w:r>
              <w:rPr>
                <w:rFonts w:hint="eastAsia" w:ascii="华文宋体" w:hAnsi="华文宋体" w:eastAsia="华文宋体" w:cs="华文宋体"/>
                <w:b w:val="0"/>
                <w:bCs w:val="0"/>
                <w:sz w:val="21"/>
                <w:szCs w:val="21"/>
                <w:highlight w:val="none"/>
                <w:lang w:val="en-US" w:eastAsia="zh-Hans"/>
              </w:rPr>
              <w:t>复习</w:t>
            </w:r>
          </w:p>
          <w:p w14:paraId="619C373A">
            <w:pPr>
              <w:widowControl/>
              <w:rPr>
                <w:rFonts w:hint="default" w:ascii="华文宋体" w:hAnsi="华文宋体" w:eastAsia="华文宋体" w:cs="华文宋体"/>
                <w:sz w:val="21"/>
                <w:szCs w:val="21"/>
                <w:highlight w:val="none"/>
                <w:lang w:val="en-US" w:eastAsia="zh-CN"/>
              </w:rPr>
            </w:pPr>
            <w:r>
              <w:rPr>
                <w:rFonts w:hint="eastAsia" w:ascii="华文宋体" w:hAnsi="华文宋体" w:eastAsia="华文宋体" w:cs="华文宋体"/>
                <w:b w:val="0"/>
                <w:bCs w:val="0"/>
                <w:sz w:val="21"/>
                <w:szCs w:val="21"/>
                <w:highlight w:val="none"/>
                <w:lang w:val="en-US" w:eastAsia="zh-Hans"/>
              </w:rPr>
              <w:t>Review</w:t>
            </w:r>
            <w:r>
              <w:rPr>
                <w:rFonts w:hint="eastAsia" w:ascii="华文宋体" w:hAnsi="华文宋体" w:eastAsia="华文宋体" w:cs="华文宋体"/>
                <w:b w:val="0"/>
                <w:bCs w:val="0"/>
                <w:sz w:val="21"/>
                <w:szCs w:val="21"/>
                <w:highlight w:val="none"/>
                <w:lang w:eastAsia="zh-Hans"/>
              </w:rPr>
              <w:t xml:space="preserve"> </w:t>
            </w:r>
            <w:r>
              <w:rPr>
                <w:rFonts w:hint="eastAsia" w:ascii="华文宋体" w:hAnsi="华文宋体" w:eastAsia="华文宋体" w:cs="华文宋体"/>
                <w:b w:val="0"/>
                <w:bCs w:val="0"/>
                <w:sz w:val="21"/>
                <w:szCs w:val="21"/>
                <w:highlight w:val="none"/>
                <w:lang w:val="en-US" w:eastAsia="zh-Hans"/>
              </w:rPr>
              <w:t>on</w:t>
            </w:r>
            <w:r>
              <w:rPr>
                <w:rFonts w:hint="eastAsia" w:ascii="华文宋体" w:hAnsi="华文宋体" w:eastAsia="华文宋体" w:cs="华文宋体"/>
                <w:b w:val="0"/>
                <w:bCs w:val="0"/>
                <w:sz w:val="21"/>
                <w:szCs w:val="21"/>
                <w:highlight w:val="none"/>
                <w:lang w:eastAsia="zh-Hans"/>
              </w:rPr>
              <w:t xml:space="preserve"> </w:t>
            </w:r>
            <w:r>
              <w:rPr>
                <w:rFonts w:hint="eastAsia" w:ascii="华文宋体" w:hAnsi="华文宋体" w:eastAsia="华文宋体" w:cs="华文宋体"/>
                <w:b w:val="0"/>
                <w:bCs w:val="0"/>
                <w:sz w:val="21"/>
                <w:szCs w:val="21"/>
                <w:highlight w:val="none"/>
                <w:lang w:val="en-US" w:eastAsia="zh-CN"/>
              </w:rPr>
              <w:t>Reading and Writing</w:t>
            </w:r>
          </w:p>
        </w:tc>
        <w:tc>
          <w:tcPr>
            <w:tcW w:w="2222" w:type="dxa"/>
          </w:tcPr>
          <w:p w14:paraId="4ACA4E25">
            <w:pPr>
              <w:contextualSpacing/>
              <w:rPr>
                <w:rFonts w:hint="default"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要求学生掌握本学期所学习的课程内容，并能够总结并记忆。</w:t>
            </w:r>
          </w:p>
        </w:tc>
        <w:tc>
          <w:tcPr>
            <w:tcW w:w="2824" w:type="dxa"/>
          </w:tcPr>
          <w:p w14:paraId="64E18F36">
            <w:pPr>
              <w:contextualSpacing/>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lang w:val="en-US" w:eastAsia="zh-CN"/>
              </w:rPr>
              <w:t>雅思阅读词汇短语及写作词汇概括和记忆，阅读写作技巧。</w:t>
            </w:r>
          </w:p>
        </w:tc>
        <w:tc>
          <w:tcPr>
            <w:tcW w:w="2009" w:type="dxa"/>
            <w:vAlign w:val="center"/>
          </w:tcPr>
          <w:p w14:paraId="01F4E54B">
            <w:pPr>
              <w:contextualSpacing/>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lang w:val="en-US" w:eastAsia="zh-CN" w:bidi="ar-SA"/>
              </w:rPr>
              <w:t>具备综合和复习所学内容的能力</w:t>
            </w:r>
          </w:p>
        </w:tc>
      </w:tr>
    </w:tbl>
    <w:p w14:paraId="4E0B1096">
      <w:pPr>
        <w:pStyle w:val="23"/>
        <w:spacing w:before="81" w:after="163"/>
        <w:rPr>
          <w:rFonts w:hint="eastAsia"/>
          <w:sz w:val="21"/>
          <w:szCs w:val="21"/>
        </w:rPr>
      </w:pPr>
    </w:p>
    <w:p w14:paraId="04DCC70D">
      <w:pPr>
        <w:pStyle w:val="23"/>
        <w:spacing w:before="81" w:after="163"/>
      </w:pPr>
      <w:r>
        <w:rPr>
          <w:rFonts w:hint="eastAsia"/>
        </w:rPr>
        <w:t>（二）教学单元对课程目标的支撑关系</w:t>
      </w:r>
    </w:p>
    <w:tbl>
      <w:tblPr>
        <w:tblStyle w:val="9"/>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546"/>
        <w:gridCol w:w="1091"/>
        <w:gridCol w:w="1057"/>
        <w:gridCol w:w="1081"/>
        <w:gridCol w:w="1016"/>
        <w:gridCol w:w="1470"/>
      </w:tblGrid>
      <w:tr w14:paraId="6A53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546" w:type="dxa"/>
            <w:tcBorders>
              <w:top w:val="single" w:color="auto" w:sz="12" w:space="0"/>
              <w:left w:val="single" w:color="auto" w:sz="12" w:space="0"/>
              <w:tl2br w:val="single" w:color="auto" w:sz="4" w:space="0"/>
            </w:tcBorders>
          </w:tcPr>
          <w:p w14:paraId="0298348C">
            <w:pPr>
              <w:pStyle w:val="19"/>
              <w:ind w:firstLine="489"/>
              <w:jc w:val="right"/>
              <w:rPr>
                <w:szCs w:val="16"/>
              </w:rPr>
            </w:pPr>
            <w:r>
              <w:rPr>
                <w:rFonts w:hint="eastAsia"/>
                <w:szCs w:val="16"/>
              </w:rPr>
              <w:t>课程目标</w:t>
            </w:r>
          </w:p>
          <w:p w14:paraId="58B5E1BF">
            <w:pPr>
              <w:pStyle w:val="19"/>
              <w:ind w:right="210"/>
              <w:jc w:val="left"/>
              <w:rPr>
                <w:szCs w:val="16"/>
              </w:rPr>
            </w:pPr>
          </w:p>
          <w:p w14:paraId="10FD0876">
            <w:pPr>
              <w:pStyle w:val="19"/>
              <w:ind w:right="210"/>
              <w:jc w:val="left"/>
              <w:rPr>
                <w:szCs w:val="16"/>
              </w:rPr>
            </w:pPr>
            <w:r>
              <w:rPr>
                <w:rFonts w:hint="eastAsia"/>
                <w:szCs w:val="16"/>
              </w:rPr>
              <w:t>教学单元</w:t>
            </w:r>
          </w:p>
        </w:tc>
        <w:tc>
          <w:tcPr>
            <w:tcW w:w="1091" w:type="dxa"/>
            <w:tcBorders>
              <w:top w:val="single" w:color="auto" w:sz="12" w:space="0"/>
            </w:tcBorders>
            <w:vAlign w:val="center"/>
          </w:tcPr>
          <w:p w14:paraId="41EC15B5">
            <w:pPr>
              <w:pStyle w:val="19"/>
              <w:rPr>
                <w:szCs w:val="16"/>
              </w:rPr>
            </w:pPr>
            <w:r>
              <w:rPr>
                <w:rFonts w:hint="eastAsia"/>
                <w:szCs w:val="16"/>
              </w:rPr>
              <w:t>1</w:t>
            </w:r>
          </w:p>
          <w:p w14:paraId="4E68796A">
            <w:pPr>
              <w:pStyle w:val="19"/>
              <w:rPr>
                <w:szCs w:val="16"/>
              </w:rPr>
            </w:pPr>
            <w:r>
              <w:rPr>
                <w:rFonts w:hint="eastAsia"/>
                <w:szCs w:val="16"/>
              </w:rPr>
              <w:t>词汇语法</w:t>
            </w:r>
          </w:p>
        </w:tc>
        <w:tc>
          <w:tcPr>
            <w:tcW w:w="1057" w:type="dxa"/>
            <w:tcBorders>
              <w:top w:val="single" w:color="auto" w:sz="12" w:space="0"/>
            </w:tcBorders>
            <w:vAlign w:val="center"/>
          </w:tcPr>
          <w:p w14:paraId="3F8C7CDD">
            <w:pPr>
              <w:pStyle w:val="19"/>
              <w:rPr>
                <w:szCs w:val="16"/>
              </w:rPr>
            </w:pPr>
            <w:r>
              <w:rPr>
                <w:rFonts w:hint="eastAsia"/>
                <w:szCs w:val="16"/>
              </w:rPr>
              <w:t>2</w:t>
            </w:r>
          </w:p>
          <w:p w14:paraId="1C879187">
            <w:pPr>
              <w:pStyle w:val="19"/>
              <w:rPr>
                <w:szCs w:val="16"/>
              </w:rPr>
            </w:pPr>
            <w:r>
              <w:rPr>
                <w:rFonts w:hint="eastAsia"/>
                <w:szCs w:val="16"/>
              </w:rPr>
              <w:t>阅读理解</w:t>
            </w:r>
          </w:p>
        </w:tc>
        <w:tc>
          <w:tcPr>
            <w:tcW w:w="1081" w:type="dxa"/>
            <w:tcBorders>
              <w:top w:val="single" w:color="auto" w:sz="12" w:space="0"/>
            </w:tcBorders>
            <w:vAlign w:val="center"/>
          </w:tcPr>
          <w:p w14:paraId="3A101940">
            <w:pPr>
              <w:pStyle w:val="19"/>
              <w:rPr>
                <w:szCs w:val="16"/>
              </w:rPr>
            </w:pPr>
            <w:r>
              <w:rPr>
                <w:rFonts w:hint="eastAsia"/>
                <w:szCs w:val="16"/>
              </w:rPr>
              <w:t>3</w:t>
            </w:r>
          </w:p>
          <w:p w14:paraId="43D72405">
            <w:pPr>
              <w:pStyle w:val="19"/>
              <w:rPr>
                <w:szCs w:val="16"/>
              </w:rPr>
            </w:pPr>
            <w:r>
              <w:rPr>
                <w:rFonts w:hint="eastAsia"/>
                <w:szCs w:val="16"/>
              </w:rPr>
              <w:t>写作能力</w:t>
            </w:r>
          </w:p>
        </w:tc>
        <w:tc>
          <w:tcPr>
            <w:tcW w:w="1016" w:type="dxa"/>
            <w:tcBorders>
              <w:top w:val="single" w:color="auto" w:sz="12" w:space="0"/>
            </w:tcBorders>
            <w:vAlign w:val="center"/>
          </w:tcPr>
          <w:p w14:paraId="6B9E63B1">
            <w:pPr>
              <w:pStyle w:val="19"/>
              <w:rPr>
                <w:szCs w:val="16"/>
              </w:rPr>
            </w:pPr>
            <w:r>
              <w:rPr>
                <w:rFonts w:hint="eastAsia"/>
                <w:szCs w:val="16"/>
              </w:rPr>
              <w:t>4</w:t>
            </w:r>
          </w:p>
          <w:p w14:paraId="2395257E">
            <w:pPr>
              <w:pStyle w:val="19"/>
              <w:rPr>
                <w:szCs w:val="16"/>
              </w:rPr>
            </w:pPr>
            <w:r>
              <w:rPr>
                <w:rFonts w:hint="eastAsia"/>
                <w:szCs w:val="16"/>
                <w:lang w:val="en-US" w:eastAsia="zh-CN"/>
              </w:rPr>
              <w:t>交际</w:t>
            </w:r>
            <w:r>
              <w:rPr>
                <w:rFonts w:hint="eastAsia"/>
                <w:szCs w:val="16"/>
              </w:rPr>
              <w:t>能力</w:t>
            </w:r>
          </w:p>
        </w:tc>
        <w:tc>
          <w:tcPr>
            <w:tcW w:w="1470" w:type="dxa"/>
            <w:tcBorders>
              <w:top w:val="single" w:color="auto" w:sz="12" w:space="0"/>
              <w:right w:val="single" w:color="auto" w:sz="12" w:space="0"/>
            </w:tcBorders>
            <w:shd w:val="clear" w:color="auto" w:fill="auto"/>
            <w:vAlign w:val="center"/>
          </w:tcPr>
          <w:p w14:paraId="4B5A07AD">
            <w:pPr>
              <w:pStyle w:val="19"/>
              <w:rPr>
                <w:szCs w:val="16"/>
              </w:rPr>
            </w:pPr>
            <w:r>
              <w:rPr>
                <w:rFonts w:hint="eastAsia"/>
                <w:szCs w:val="16"/>
              </w:rPr>
              <w:t>5</w:t>
            </w:r>
          </w:p>
          <w:p w14:paraId="5B605027">
            <w:pPr>
              <w:pStyle w:val="19"/>
              <w:rPr>
                <w:szCs w:val="16"/>
              </w:rPr>
            </w:pPr>
            <w:r>
              <w:rPr>
                <w:rFonts w:hint="eastAsia"/>
                <w:szCs w:val="16"/>
              </w:rPr>
              <w:t>人文素养</w:t>
            </w:r>
          </w:p>
        </w:tc>
      </w:tr>
      <w:tr w14:paraId="05EB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8" w:hRule="atLeast"/>
          <w:jc w:val="center"/>
        </w:trPr>
        <w:tc>
          <w:tcPr>
            <w:tcW w:w="2546" w:type="dxa"/>
            <w:tcBorders>
              <w:left w:val="single" w:color="auto" w:sz="12" w:space="0"/>
            </w:tcBorders>
            <w:shd w:val="clear" w:color="auto" w:fill="auto"/>
            <w:vAlign w:val="center"/>
          </w:tcPr>
          <w:p w14:paraId="7CAB2C50">
            <w:pPr>
              <w:widowControl/>
              <w:numPr>
                <w:ilvl w:val="0"/>
                <w:numId w:val="2"/>
              </w:numPr>
              <w:ind w:left="425" w:leftChars="0" w:hanging="425" w:firstLineChars="0"/>
              <w:rPr>
                <w:rFonts w:hint="default" w:ascii="华文宋体" w:hAnsi="华文宋体" w:eastAsia="华文宋体" w:cs="华文宋体"/>
                <w:kern w:val="0"/>
                <w:sz w:val="21"/>
                <w:szCs w:val="21"/>
                <w:highlight w:val="none"/>
                <w:lang w:val="en-US" w:eastAsia="zh-CN" w:bidi="ar-SA"/>
              </w:rPr>
            </w:pPr>
            <w:r>
              <w:rPr>
                <w:rFonts w:hint="default" w:ascii="华文宋体" w:hAnsi="华文宋体" w:eastAsia="华文宋体" w:cs="华文宋体"/>
                <w:kern w:val="0"/>
                <w:sz w:val="21"/>
                <w:szCs w:val="21"/>
                <w:highlight w:val="none"/>
                <w:lang w:val="en-US" w:eastAsia="zh-CN"/>
              </w:rPr>
              <w:t>雅思</w:t>
            </w:r>
            <w:r>
              <w:rPr>
                <w:rFonts w:hint="eastAsia" w:ascii="华文宋体" w:hAnsi="华文宋体" w:eastAsia="华文宋体" w:cs="华文宋体"/>
                <w:kern w:val="0"/>
                <w:sz w:val="21"/>
                <w:szCs w:val="21"/>
                <w:highlight w:val="none"/>
                <w:lang w:val="en-US" w:eastAsia="zh-CN"/>
              </w:rPr>
              <w:t>阅读与写作</w:t>
            </w:r>
            <w:r>
              <w:rPr>
                <w:rFonts w:hint="default" w:ascii="华文宋体" w:hAnsi="华文宋体" w:eastAsia="华文宋体" w:cs="华文宋体"/>
                <w:kern w:val="0"/>
                <w:sz w:val="21"/>
                <w:szCs w:val="21"/>
                <w:highlight w:val="none"/>
                <w:lang w:val="en-US" w:eastAsia="zh-CN"/>
              </w:rPr>
              <w:t xml:space="preserve">简介General Introduction of IELTS </w:t>
            </w:r>
            <w:r>
              <w:rPr>
                <w:rFonts w:hint="eastAsia" w:ascii="华文宋体" w:hAnsi="华文宋体" w:eastAsia="华文宋体" w:cs="华文宋体"/>
                <w:kern w:val="0"/>
                <w:sz w:val="21"/>
                <w:szCs w:val="21"/>
                <w:highlight w:val="none"/>
                <w:lang w:val="en-US" w:eastAsia="zh-CN"/>
              </w:rPr>
              <w:t>Reading</w:t>
            </w:r>
            <w:r>
              <w:rPr>
                <w:rFonts w:hint="default" w:ascii="华文宋体" w:hAnsi="华文宋体" w:eastAsia="华文宋体" w:cs="华文宋体"/>
                <w:kern w:val="0"/>
                <w:sz w:val="21"/>
                <w:szCs w:val="21"/>
                <w:highlight w:val="none"/>
                <w:lang w:val="en-US" w:eastAsia="zh-CN"/>
              </w:rPr>
              <w:t xml:space="preserve"> &amp; </w:t>
            </w:r>
            <w:r>
              <w:rPr>
                <w:rFonts w:hint="eastAsia" w:ascii="华文宋体" w:hAnsi="华文宋体" w:eastAsia="华文宋体" w:cs="华文宋体"/>
                <w:kern w:val="0"/>
                <w:sz w:val="21"/>
                <w:szCs w:val="21"/>
                <w:highlight w:val="none"/>
                <w:lang w:val="en-US" w:eastAsia="zh-CN"/>
              </w:rPr>
              <w:t xml:space="preserve">Writing </w:t>
            </w:r>
          </w:p>
        </w:tc>
        <w:tc>
          <w:tcPr>
            <w:tcW w:w="1091" w:type="dxa"/>
            <w:vAlign w:val="center"/>
          </w:tcPr>
          <w:p w14:paraId="5539B89A">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2F00EDFF">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243602A1">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06710D36">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470" w:type="dxa"/>
            <w:tcBorders>
              <w:right w:val="single" w:color="auto" w:sz="12" w:space="0"/>
            </w:tcBorders>
            <w:shd w:val="clear" w:color="auto" w:fill="auto"/>
            <w:vAlign w:val="center"/>
          </w:tcPr>
          <w:p w14:paraId="3F559226">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5FE6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shd w:val="clear" w:color="auto" w:fill="auto"/>
            <w:vAlign w:val="center"/>
          </w:tcPr>
          <w:p w14:paraId="67236179">
            <w:pPr>
              <w:widowControl/>
              <w:numPr>
                <w:ilvl w:val="0"/>
                <w:numId w:val="2"/>
              </w:numPr>
              <w:ind w:left="425" w:leftChars="0" w:hanging="425" w:firstLineChars="0"/>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雅思阅读</w:t>
            </w:r>
          </w:p>
          <w:p w14:paraId="7C7BAE4F">
            <w:pPr>
              <w:widowControl/>
              <w:numPr>
                <w:ilvl w:val="0"/>
                <w:numId w:val="0"/>
              </w:numPr>
              <w:ind w:leftChars="0"/>
              <w:rPr>
                <w:rFonts w:hint="default" w:ascii="Times New Roman" w:hAnsi="Times New Roman" w:cs="Times New Roman" w:eastAsiaTheme="minorEastAsia"/>
                <w:sz w:val="21"/>
                <w:szCs w:val="21"/>
                <w:lang w:val="en-US" w:eastAsia="zh-CN" w:bidi="ar-SA"/>
              </w:rPr>
            </w:pPr>
            <w:r>
              <w:rPr>
                <w:rFonts w:hint="eastAsia" w:ascii="华文宋体" w:hAnsi="华文宋体" w:eastAsia="华文宋体" w:cs="华文宋体"/>
                <w:sz w:val="21"/>
                <w:szCs w:val="21"/>
                <w:highlight w:val="none"/>
                <w:lang w:val="en-US" w:eastAsia="zh-CN"/>
              </w:rPr>
              <w:t>UNIT 1 Language&amp;Education</w:t>
            </w:r>
          </w:p>
        </w:tc>
        <w:tc>
          <w:tcPr>
            <w:tcW w:w="1091" w:type="dxa"/>
            <w:vAlign w:val="center"/>
          </w:tcPr>
          <w:p w14:paraId="33495D28">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6EF41D6A">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5B93511D">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10566280">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470" w:type="dxa"/>
            <w:tcBorders>
              <w:right w:val="single" w:color="auto" w:sz="12" w:space="0"/>
            </w:tcBorders>
            <w:shd w:val="clear" w:color="auto" w:fill="auto"/>
            <w:vAlign w:val="center"/>
          </w:tcPr>
          <w:p w14:paraId="3D0F1779">
            <w:pPr>
              <w:pStyle w:val="20"/>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1893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shd w:val="clear" w:color="auto" w:fill="auto"/>
            <w:vAlign w:val="center"/>
          </w:tcPr>
          <w:p w14:paraId="38090F5B">
            <w:pPr>
              <w:widowControl/>
              <w:numPr>
                <w:ilvl w:val="0"/>
                <w:numId w:val="2"/>
              </w:numPr>
              <w:ind w:left="425" w:leftChars="0" w:hanging="425" w:firstLineChars="0"/>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rPr>
              <w:t>雅思写作</w:t>
            </w:r>
          </w:p>
          <w:p w14:paraId="58DB4BFF">
            <w:pPr>
              <w:widowControl/>
              <w:numPr>
                <w:ilvl w:val="0"/>
                <w:numId w:val="0"/>
              </w:numPr>
              <w:ind w:leftChars="0"/>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rPr>
              <w:t>UNIT 1 Language&amp;Education</w:t>
            </w:r>
          </w:p>
        </w:tc>
        <w:tc>
          <w:tcPr>
            <w:tcW w:w="1091" w:type="dxa"/>
            <w:shd w:val="clear" w:color="auto" w:fill="auto"/>
            <w:vAlign w:val="center"/>
          </w:tcPr>
          <w:p w14:paraId="09DEDA48">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67DF7147">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1C6F0382">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323C28DF">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470" w:type="dxa"/>
            <w:tcBorders>
              <w:right w:val="single" w:color="auto" w:sz="12" w:space="0"/>
            </w:tcBorders>
            <w:shd w:val="clear" w:color="auto" w:fill="auto"/>
            <w:vAlign w:val="center"/>
          </w:tcPr>
          <w:p w14:paraId="66F8C750">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4725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shd w:val="clear" w:color="auto" w:fill="auto"/>
            <w:vAlign w:val="center"/>
          </w:tcPr>
          <w:p w14:paraId="3A670FC3">
            <w:pPr>
              <w:widowControl/>
              <w:numPr>
                <w:ilvl w:val="0"/>
                <w:numId w:val="2"/>
              </w:numPr>
              <w:ind w:left="425" w:leftChars="0" w:hanging="425" w:firstLineChars="0"/>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雅思阅读</w:t>
            </w:r>
          </w:p>
          <w:p w14:paraId="3392890B">
            <w:pPr>
              <w:widowControl/>
              <w:numPr>
                <w:ilvl w:val="0"/>
                <w:numId w:val="0"/>
              </w:numPr>
              <w:ind w:leftChars="0"/>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rPr>
              <w:t>UNIT 2 Travel &amp; Transport</w:t>
            </w:r>
          </w:p>
        </w:tc>
        <w:tc>
          <w:tcPr>
            <w:tcW w:w="1091" w:type="dxa"/>
            <w:shd w:val="clear" w:color="auto" w:fill="auto"/>
            <w:vAlign w:val="center"/>
          </w:tcPr>
          <w:p w14:paraId="530212BB">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49F19F93">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7EA77C69">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226AF0FD">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470" w:type="dxa"/>
            <w:tcBorders>
              <w:right w:val="single" w:color="auto" w:sz="12" w:space="0"/>
            </w:tcBorders>
            <w:shd w:val="clear" w:color="auto" w:fill="auto"/>
            <w:vAlign w:val="center"/>
          </w:tcPr>
          <w:p w14:paraId="04590324">
            <w:pPr>
              <w:pStyle w:val="20"/>
              <w:ind w:firstLine="420" w:firstLineChars="200"/>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0C05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4" w:hRule="atLeast"/>
          <w:jc w:val="center"/>
        </w:trPr>
        <w:tc>
          <w:tcPr>
            <w:tcW w:w="2546" w:type="dxa"/>
            <w:tcBorders>
              <w:left w:val="single" w:color="auto" w:sz="12" w:space="0"/>
            </w:tcBorders>
            <w:shd w:val="clear" w:color="auto" w:fill="auto"/>
            <w:vAlign w:val="center"/>
          </w:tcPr>
          <w:p w14:paraId="39D947E6">
            <w:pPr>
              <w:widowControl/>
              <w:numPr>
                <w:ilvl w:val="0"/>
                <w:numId w:val="2"/>
              </w:numPr>
              <w:ind w:left="425" w:leftChars="0" w:hanging="425" w:firstLineChars="0"/>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kern w:val="0"/>
                <w:sz w:val="21"/>
                <w:szCs w:val="21"/>
                <w:highlight w:val="none"/>
                <w:lang w:val="en-US" w:eastAsia="zh-CN"/>
              </w:rPr>
              <w:t>过程考X1</w:t>
            </w:r>
          </w:p>
        </w:tc>
        <w:tc>
          <w:tcPr>
            <w:tcW w:w="1091" w:type="dxa"/>
            <w:vAlign w:val="center"/>
          </w:tcPr>
          <w:p w14:paraId="6B64A49A">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29AD46FE">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3A022195">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68ECCD68">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470" w:type="dxa"/>
            <w:tcBorders>
              <w:right w:val="single" w:color="auto" w:sz="12" w:space="0"/>
            </w:tcBorders>
            <w:shd w:val="clear" w:color="auto" w:fill="auto"/>
            <w:vAlign w:val="center"/>
          </w:tcPr>
          <w:p w14:paraId="1E9E9B98">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1F38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shd w:val="clear" w:color="auto" w:fill="auto"/>
            <w:vAlign w:val="center"/>
          </w:tcPr>
          <w:p w14:paraId="23765FCE">
            <w:pPr>
              <w:widowControl/>
              <w:numPr>
                <w:ilvl w:val="0"/>
                <w:numId w:val="2"/>
              </w:numPr>
              <w:ind w:left="425" w:leftChars="0" w:hanging="425" w:firstLineChars="0"/>
              <w:rPr>
                <w:rFonts w:hint="eastAsia"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bidi="ar-SA"/>
              </w:rPr>
              <w:t>雅思写作</w:t>
            </w:r>
          </w:p>
          <w:p w14:paraId="41E7A92A">
            <w:pPr>
              <w:widowControl/>
              <w:numPr>
                <w:ilvl w:val="0"/>
                <w:numId w:val="0"/>
              </w:numPr>
              <w:ind w:leftChars="0"/>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rPr>
              <w:t>UNIT 2 Travel &amp; Transport</w:t>
            </w:r>
          </w:p>
        </w:tc>
        <w:tc>
          <w:tcPr>
            <w:tcW w:w="1091" w:type="dxa"/>
            <w:vAlign w:val="center"/>
          </w:tcPr>
          <w:p w14:paraId="1377EB0E">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1DE8206C">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7ACE24BB">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4FF53A82">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470" w:type="dxa"/>
            <w:tcBorders>
              <w:right w:val="single" w:color="auto" w:sz="12" w:space="0"/>
            </w:tcBorders>
            <w:shd w:val="clear" w:color="auto" w:fill="auto"/>
            <w:vAlign w:val="center"/>
          </w:tcPr>
          <w:p w14:paraId="3EE53B63">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6EA8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shd w:val="clear" w:color="auto" w:fill="auto"/>
            <w:vAlign w:val="center"/>
          </w:tcPr>
          <w:p w14:paraId="00457A4C">
            <w:pPr>
              <w:widowControl/>
              <w:numPr>
                <w:ilvl w:val="0"/>
                <w:numId w:val="2"/>
              </w:numPr>
              <w:ind w:left="425" w:leftChars="0" w:hanging="425" w:firstLineChars="0"/>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雅思阅读</w:t>
            </w:r>
          </w:p>
          <w:p w14:paraId="2BEF8AB3">
            <w:pPr>
              <w:widowControl/>
              <w:numPr>
                <w:ilvl w:val="0"/>
                <w:numId w:val="0"/>
              </w:numPr>
              <w:ind w:leftChars="0"/>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rPr>
              <w:t>UNIT 3 Food&amp;Healthy Lifestyle</w:t>
            </w:r>
          </w:p>
        </w:tc>
        <w:tc>
          <w:tcPr>
            <w:tcW w:w="1091" w:type="dxa"/>
            <w:vAlign w:val="center"/>
          </w:tcPr>
          <w:p w14:paraId="7ACC6B69">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27F16FF1">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4E89E6FE">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15182994">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470" w:type="dxa"/>
            <w:tcBorders>
              <w:right w:val="single" w:color="auto" w:sz="12" w:space="0"/>
            </w:tcBorders>
            <w:shd w:val="clear" w:color="auto" w:fill="auto"/>
            <w:vAlign w:val="center"/>
          </w:tcPr>
          <w:p w14:paraId="1914E981">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359A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shd w:val="clear" w:color="auto" w:fill="auto"/>
            <w:vAlign w:val="center"/>
          </w:tcPr>
          <w:p w14:paraId="6672B18F">
            <w:pPr>
              <w:widowControl/>
              <w:numPr>
                <w:ilvl w:val="0"/>
                <w:numId w:val="2"/>
              </w:numPr>
              <w:ind w:left="425" w:leftChars="0" w:hanging="425" w:firstLineChars="0"/>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rPr>
              <w:t>雅思写作</w:t>
            </w:r>
          </w:p>
          <w:p w14:paraId="40E46C9E">
            <w:pPr>
              <w:widowControl/>
              <w:numPr>
                <w:ilvl w:val="0"/>
                <w:numId w:val="0"/>
              </w:numPr>
              <w:ind w:leftChars="0"/>
              <w:rPr>
                <w:rFonts w:hint="eastAsia"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rPr>
              <w:t>UNIT 3 Food&amp;Healthy Lifestyle</w:t>
            </w:r>
          </w:p>
        </w:tc>
        <w:tc>
          <w:tcPr>
            <w:tcW w:w="1091" w:type="dxa"/>
            <w:vAlign w:val="center"/>
          </w:tcPr>
          <w:p w14:paraId="4DE50D7E">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337B9D15">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258DF4BA">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58A702D3">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470" w:type="dxa"/>
            <w:tcBorders>
              <w:right w:val="single" w:color="auto" w:sz="12" w:space="0"/>
            </w:tcBorders>
            <w:shd w:val="clear" w:color="auto" w:fill="auto"/>
            <w:vAlign w:val="center"/>
          </w:tcPr>
          <w:p w14:paraId="178A7D14">
            <w:pPr>
              <w:pStyle w:val="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718F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shd w:val="clear" w:color="auto" w:fill="auto"/>
            <w:vAlign w:val="center"/>
          </w:tcPr>
          <w:p w14:paraId="2ECED40D">
            <w:pPr>
              <w:widowControl/>
              <w:numPr>
                <w:ilvl w:val="0"/>
                <w:numId w:val="2"/>
              </w:numPr>
              <w:ind w:left="425" w:leftChars="0" w:hanging="425" w:firstLineChars="0"/>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雅思阅读</w:t>
            </w:r>
          </w:p>
          <w:p w14:paraId="6612CC0A">
            <w:pPr>
              <w:widowControl/>
              <w:numPr>
                <w:ilvl w:val="0"/>
                <w:numId w:val="0"/>
              </w:numPr>
              <w:ind w:leftChars="0"/>
              <w:rPr>
                <w:rFonts w:hint="eastAsia"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rPr>
              <w:t>UNIT 4 Culture&amp;Traditions</w:t>
            </w:r>
          </w:p>
        </w:tc>
        <w:tc>
          <w:tcPr>
            <w:tcW w:w="1091" w:type="dxa"/>
            <w:shd w:val="clear" w:color="auto" w:fill="auto"/>
            <w:vAlign w:val="center"/>
          </w:tcPr>
          <w:p w14:paraId="067D2CBC">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72EE342D">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5C9035EC">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153C2445">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470" w:type="dxa"/>
            <w:tcBorders>
              <w:right w:val="single" w:color="auto" w:sz="12" w:space="0"/>
            </w:tcBorders>
            <w:shd w:val="clear" w:color="auto" w:fill="auto"/>
            <w:vAlign w:val="center"/>
          </w:tcPr>
          <w:p w14:paraId="385FFCEB">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3E63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shd w:val="clear" w:color="auto" w:fill="auto"/>
            <w:vAlign w:val="center"/>
          </w:tcPr>
          <w:p w14:paraId="0A224955">
            <w:pPr>
              <w:widowControl/>
              <w:numPr>
                <w:ilvl w:val="0"/>
                <w:numId w:val="2"/>
              </w:numPr>
              <w:ind w:left="425" w:leftChars="0" w:hanging="425" w:firstLineChars="0"/>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kern w:val="0"/>
                <w:sz w:val="21"/>
                <w:szCs w:val="21"/>
                <w:highlight w:val="none"/>
                <w:lang w:val="en-US" w:eastAsia="zh-CN"/>
              </w:rPr>
              <w:t>过程考X2</w:t>
            </w:r>
          </w:p>
        </w:tc>
        <w:tc>
          <w:tcPr>
            <w:tcW w:w="1091" w:type="dxa"/>
            <w:shd w:val="clear" w:color="auto" w:fill="auto"/>
            <w:vAlign w:val="center"/>
          </w:tcPr>
          <w:p w14:paraId="1EC6CA6F">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596F7396">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524B43C1">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4C16614E">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470" w:type="dxa"/>
            <w:tcBorders>
              <w:right w:val="single" w:color="auto" w:sz="12" w:space="0"/>
            </w:tcBorders>
            <w:shd w:val="clear" w:color="auto" w:fill="auto"/>
            <w:vAlign w:val="center"/>
          </w:tcPr>
          <w:p w14:paraId="0A3E8AF7">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2CCF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shd w:val="clear" w:color="auto" w:fill="auto"/>
            <w:vAlign w:val="center"/>
          </w:tcPr>
          <w:p w14:paraId="41C21F0D">
            <w:pPr>
              <w:widowControl/>
              <w:numPr>
                <w:ilvl w:val="0"/>
                <w:numId w:val="2"/>
              </w:numPr>
              <w:ind w:left="425" w:leftChars="0" w:hanging="425" w:firstLineChars="0"/>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rPr>
              <w:t>雅思写作</w:t>
            </w:r>
          </w:p>
          <w:p w14:paraId="1106763F">
            <w:pPr>
              <w:widowControl/>
              <w:numPr>
                <w:ilvl w:val="0"/>
                <w:numId w:val="0"/>
              </w:numPr>
              <w:ind w:leftChars="0"/>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rPr>
              <w:t>UNIT 4 Culture&amp;Traditions</w:t>
            </w:r>
            <w:r>
              <w:rPr>
                <w:rFonts w:hint="eastAsia" w:ascii="华文宋体" w:hAnsi="华文宋体" w:eastAsia="华文宋体" w:cs="华文宋体"/>
                <w:sz w:val="21"/>
                <w:szCs w:val="21"/>
                <w:highlight w:val="none"/>
              </w:rPr>
              <w:t xml:space="preserve"> </w:t>
            </w:r>
          </w:p>
        </w:tc>
        <w:tc>
          <w:tcPr>
            <w:tcW w:w="1091" w:type="dxa"/>
            <w:shd w:val="clear" w:color="auto" w:fill="auto"/>
            <w:vAlign w:val="center"/>
          </w:tcPr>
          <w:p w14:paraId="1826A362">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0364B7CC">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666AF3DD">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6F22A2CF">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470" w:type="dxa"/>
            <w:tcBorders>
              <w:right w:val="single" w:color="auto" w:sz="12" w:space="0"/>
            </w:tcBorders>
            <w:shd w:val="clear" w:color="auto" w:fill="auto"/>
            <w:vAlign w:val="center"/>
          </w:tcPr>
          <w:p w14:paraId="7738CC04">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5E1C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shd w:val="clear" w:color="auto" w:fill="auto"/>
            <w:vAlign w:val="center"/>
          </w:tcPr>
          <w:p w14:paraId="52E5C5DB">
            <w:pPr>
              <w:widowControl/>
              <w:numPr>
                <w:ilvl w:val="0"/>
                <w:numId w:val="2"/>
              </w:numPr>
              <w:ind w:left="425" w:leftChars="0" w:hanging="425" w:firstLineChars="0"/>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雅思阅读</w:t>
            </w:r>
          </w:p>
          <w:p w14:paraId="005026C3">
            <w:pPr>
              <w:widowControl/>
              <w:numPr>
                <w:ilvl w:val="0"/>
                <w:numId w:val="0"/>
              </w:numPr>
              <w:ind w:leftChars="0"/>
              <w:rPr>
                <w:rFonts w:hint="eastAsia"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bidi="ar-SA"/>
              </w:rPr>
              <w:t>UNIT 5 Shopping</w:t>
            </w:r>
          </w:p>
          <w:p w14:paraId="4D8ABF0C">
            <w:pPr>
              <w:widowControl/>
              <w:numPr>
                <w:ilvl w:val="0"/>
                <w:numId w:val="0"/>
              </w:numPr>
              <w:ind w:leftChars="0"/>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bidi="ar-SA"/>
              </w:rPr>
              <w:t>&amp;Consumerism</w:t>
            </w:r>
          </w:p>
        </w:tc>
        <w:tc>
          <w:tcPr>
            <w:tcW w:w="1091" w:type="dxa"/>
            <w:shd w:val="clear" w:color="auto" w:fill="auto"/>
            <w:vAlign w:val="center"/>
          </w:tcPr>
          <w:p w14:paraId="1F62A1E6">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4A3BF9FC">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0AEB68EE">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19F9F687">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470" w:type="dxa"/>
            <w:tcBorders>
              <w:right w:val="single" w:color="auto" w:sz="12" w:space="0"/>
            </w:tcBorders>
            <w:shd w:val="clear" w:color="auto" w:fill="auto"/>
            <w:vAlign w:val="center"/>
          </w:tcPr>
          <w:p w14:paraId="6981124C">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6318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shd w:val="clear" w:color="auto" w:fill="auto"/>
            <w:vAlign w:val="center"/>
          </w:tcPr>
          <w:p w14:paraId="0C0F9287">
            <w:pPr>
              <w:widowControl/>
              <w:numPr>
                <w:ilvl w:val="0"/>
                <w:numId w:val="2"/>
              </w:numPr>
              <w:ind w:left="425" w:leftChars="0" w:hanging="425" w:firstLineChars="0"/>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rPr>
              <w:t>雅思写作</w:t>
            </w:r>
          </w:p>
          <w:p w14:paraId="05027E0D">
            <w:pPr>
              <w:widowControl/>
              <w:numPr>
                <w:ilvl w:val="0"/>
                <w:numId w:val="0"/>
              </w:numPr>
              <w:ind w:leftChars="0"/>
              <w:rPr>
                <w:rFonts w:hint="eastAsia"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bidi="ar-SA"/>
              </w:rPr>
              <w:t>UNIT 5 Shopping</w:t>
            </w:r>
          </w:p>
          <w:p w14:paraId="557E4A0F">
            <w:pPr>
              <w:widowControl/>
              <w:numPr>
                <w:ilvl w:val="0"/>
                <w:numId w:val="0"/>
              </w:numPr>
              <w:ind w:leftChars="0"/>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bidi="ar-SA"/>
              </w:rPr>
              <w:t>&amp;Consumerism</w:t>
            </w:r>
          </w:p>
        </w:tc>
        <w:tc>
          <w:tcPr>
            <w:tcW w:w="1091" w:type="dxa"/>
            <w:shd w:val="clear" w:color="auto" w:fill="auto"/>
            <w:vAlign w:val="center"/>
          </w:tcPr>
          <w:p w14:paraId="15DA4A0F">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4FD74139">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3E6B90D7">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02F02116">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470" w:type="dxa"/>
            <w:tcBorders>
              <w:right w:val="single" w:color="auto" w:sz="12" w:space="0"/>
            </w:tcBorders>
            <w:shd w:val="clear" w:color="auto" w:fill="auto"/>
            <w:vAlign w:val="center"/>
          </w:tcPr>
          <w:p w14:paraId="4447F84A">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3E78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shd w:val="clear" w:color="auto" w:fill="auto"/>
            <w:vAlign w:val="center"/>
          </w:tcPr>
          <w:p w14:paraId="5EAC6224">
            <w:pPr>
              <w:widowControl/>
              <w:numPr>
                <w:ilvl w:val="0"/>
                <w:numId w:val="2"/>
              </w:numPr>
              <w:ind w:left="425" w:leftChars="0" w:hanging="425" w:firstLineChars="0"/>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雅思阅读</w:t>
            </w:r>
          </w:p>
          <w:p w14:paraId="040E6848">
            <w:pPr>
              <w:widowControl/>
              <w:numPr>
                <w:ilvl w:val="0"/>
                <w:numId w:val="0"/>
              </w:numPr>
              <w:ind w:leftChars="0"/>
              <w:rPr>
                <w:rFonts w:hint="eastAsia"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UNIT 6</w:t>
            </w:r>
          </w:p>
          <w:p w14:paraId="12BFC767">
            <w:pPr>
              <w:widowControl/>
              <w:numPr>
                <w:ilvl w:val="0"/>
                <w:numId w:val="0"/>
              </w:numPr>
              <w:ind w:leftChars="0"/>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rPr>
              <w:t>Animals &amp;Nature</w:t>
            </w:r>
          </w:p>
        </w:tc>
        <w:tc>
          <w:tcPr>
            <w:tcW w:w="1091" w:type="dxa"/>
            <w:shd w:val="clear" w:color="auto" w:fill="auto"/>
            <w:vAlign w:val="center"/>
          </w:tcPr>
          <w:p w14:paraId="4904BD14">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078DD499">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60A90776">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5920C3F4">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470" w:type="dxa"/>
            <w:tcBorders>
              <w:right w:val="single" w:color="auto" w:sz="12" w:space="0"/>
            </w:tcBorders>
            <w:shd w:val="clear" w:color="auto" w:fill="auto"/>
            <w:vAlign w:val="center"/>
          </w:tcPr>
          <w:p w14:paraId="5DCB45DF">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03B7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shd w:val="clear" w:color="auto" w:fill="auto"/>
            <w:vAlign w:val="center"/>
          </w:tcPr>
          <w:p w14:paraId="575A0D51">
            <w:pPr>
              <w:widowControl/>
              <w:numPr>
                <w:ilvl w:val="0"/>
                <w:numId w:val="2"/>
              </w:numPr>
              <w:ind w:left="425" w:leftChars="0" w:hanging="425" w:firstLineChars="0"/>
              <w:rPr>
                <w:rFonts w:hint="eastAsia" w:ascii="华文宋体" w:hAnsi="华文宋体" w:eastAsia="华文宋体" w:cs="华文宋体"/>
                <w:sz w:val="21"/>
                <w:szCs w:val="21"/>
                <w:highlight w:val="none"/>
              </w:rPr>
            </w:pPr>
            <w:r>
              <w:rPr>
                <w:rFonts w:hint="eastAsia" w:ascii="华文宋体" w:hAnsi="华文宋体" w:eastAsia="华文宋体" w:cs="华文宋体"/>
                <w:sz w:val="21"/>
                <w:szCs w:val="21"/>
                <w:highlight w:val="none"/>
              </w:rPr>
              <w:t>雅思写作</w:t>
            </w:r>
          </w:p>
          <w:p w14:paraId="26A58E38">
            <w:pPr>
              <w:widowControl/>
              <w:numPr>
                <w:ilvl w:val="0"/>
                <w:numId w:val="0"/>
              </w:numPr>
              <w:ind w:leftChars="0"/>
              <w:rPr>
                <w:rFonts w:hint="eastAsia"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UNIT 6</w:t>
            </w:r>
          </w:p>
          <w:p w14:paraId="6D0A3CFE">
            <w:pPr>
              <w:widowControl/>
              <w:numPr>
                <w:ilvl w:val="0"/>
                <w:numId w:val="0"/>
              </w:numPr>
              <w:ind w:leftChars="0"/>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rPr>
              <w:t>Animals &amp;Nature</w:t>
            </w:r>
          </w:p>
        </w:tc>
        <w:tc>
          <w:tcPr>
            <w:tcW w:w="1091" w:type="dxa"/>
            <w:shd w:val="clear" w:color="auto" w:fill="auto"/>
            <w:vAlign w:val="center"/>
          </w:tcPr>
          <w:p w14:paraId="6954ABE3">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2062B230">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73001CF4">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003085CF">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470" w:type="dxa"/>
            <w:tcBorders>
              <w:right w:val="single" w:color="auto" w:sz="12" w:space="0"/>
            </w:tcBorders>
            <w:shd w:val="clear" w:color="auto" w:fill="auto"/>
            <w:vAlign w:val="center"/>
          </w:tcPr>
          <w:p w14:paraId="5B37C0F7">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1308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shd w:val="clear" w:color="auto" w:fill="auto"/>
            <w:vAlign w:val="center"/>
          </w:tcPr>
          <w:p w14:paraId="67D685A1">
            <w:pPr>
              <w:widowControl/>
              <w:numPr>
                <w:ilvl w:val="0"/>
                <w:numId w:val="2"/>
              </w:numPr>
              <w:ind w:left="425" w:leftChars="0" w:hanging="425" w:firstLineChars="0"/>
              <w:rPr>
                <w:rFonts w:hint="eastAsia" w:ascii="华文宋体" w:hAnsi="华文宋体" w:eastAsia="华文宋体" w:cs="华文宋体"/>
                <w:b w:val="0"/>
                <w:bCs w:val="0"/>
                <w:sz w:val="21"/>
                <w:szCs w:val="21"/>
                <w:highlight w:val="none"/>
                <w:lang w:val="en-US" w:eastAsia="zh-Hans"/>
              </w:rPr>
            </w:pPr>
            <w:r>
              <w:rPr>
                <w:rFonts w:hint="eastAsia" w:ascii="华文宋体" w:hAnsi="华文宋体" w:eastAsia="华文宋体" w:cs="华文宋体"/>
                <w:b w:val="0"/>
                <w:bCs w:val="0"/>
                <w:sz w:val="21"/>
                <w:szCs w:val="21"/>
                <w:highlight w:val="none"/>
                <w:lang w:val="en-US" w:eastAsia="zh-Hans"/>
              </w:rPr>
              <w:t>雅思</w:t>
            </w:r>
            <w:r>
              <w:rPr>
                <w:rFonts w:hint="eastAsia" w:ascii="华文宋体" w:hAnsi="华文宋体" w:eastAsia="华文宋体" w:cs="华文宋体"/>
                <w:b w:val="0"/>
                <w:bCs w:val="0"/>
                <w:sz w:val="21"/>
                <w:szCs w:val="21"/>
                <w:highlight w:val="none"/>
                <w:lang w:val="en-US" w:eastAsia="zh-CN"/>
              </w:rPr>
              <w:t>阅读与写作</w:t>
            </w:r>
            <w:r>
              <w:rPr>
                <w:rFonts w:hint="eastAsia" w:ascii="华文宋体" w:hAnsi="华文宋体" w:eastAsia="华文宋体" w:cs="华文宋体"/>
                <w:b w:val="0"/>
                <w:bCs w:val="0"/>
                <w:sz w:val="21"/>
                <w:szCs w:val="21"/>
                <w:highlight w:val="none"/>
                <w:lang w:val="en-US" w:eastAsia="zh-Hans"/>
              </w:rPr>
              <w:t>复习</w:t>
            </w:r>
          </w:p>
          <w:p w14:paraId="5AA244B2">
            <w:pPr>
              <w:widowControl/>
              <w:numPr>
                <w:ilvl w:val="0"/>
                <w:numId w:val="0"/>
              </w:numPr>
              <w:ind w:leftChars="0"/>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b w:val="0"/>
                <w:bCs w:val="0"/>
                <w:sz w:val="21"/>
                <w:szCs w:val="21"/>
                <w:highlight w:val="none"/>
                <w:lang w:val="en-US" w:eastAsia="zh-Hans"/>
              </w:rPr>
              <w:t>Review</w:t>
            </w:r>
            <w:r>
              <w:rPr>
                <w:rFonts w:hint="eastAsia" w:ascii="华文宋体" w:hAnsi="华文宋体" w:eastAsia="华文宋体" w:cs="华文宋体"/>
                <w:b w:val="0"/>
                <w:bCs w:val="0"/>
                <w:sz w:val="21"/>
                <w:szCs w:val="21"/>
                <w:highlight w:val="none"/>
                <w:lang w:eastAsia="zh-Hans"/>
              </w:rPr>
              <w:t xml:space="preserve"> </w:t>
            </w:r>
            <w:r>
              <w:rPr>
                <w:rFonts w:hint="eastAsia" w:ascii="华文宋体" w:hAnsi="华文宋体" w:eastAsia="华文宋体" w:cs="华文宋体"/>
                <w:b w:val="0"/>
                <w:bCs w:val="0"/>
                <w:sz w:val="21"/>
                <w:szCs w:val="21"/>
                <w:highlight w:val="none"/>
                <w:lang w:val="en-US" w:eastAsia="zh-Hans"/>
              </w:rPr>
              <w:t>on</w:t>
            </w:r>
            <w:r>
              <w:rPr>
                <w:rFonts w:hint="eastAsia" w:ascii="华文宋体" w:hAnsi="华文宋体" w:eastAsia="华文宋体" w:cs="华文宋体"/>
                <w:b w:val="0"/>
                <w:bCs w:val="0"/>
                <w:sz w:val="21"/>
                <w:szCs w:val="21"/>
                <w:highlight w:val="none"/>
                <w:lang w:eastAsia="zh-Hans"/>
              </w:rPr>
              <w:t xml:space="preserve"> </w:t>
            </w:r>
            <w:r>
              <w:rPr>
                <w:rFonts w:hint="eastAsia" w:ascii="华文宋体" w:hAnsi="华文宋体" w:eastAsia="华文宋体" w:cs="华文宋体"/>
                <w:b w:val="0"/>
                <w:bCs w:val="0"/>
                <w:sz w:val="21"/>
                <w:szCs w:val="21"/>
                <w:highlight w:val="none"/>
                <w:lang w:val="en-US" w:eastAsia="zh-CN"/>
              </w:rPr>
              <w:t>Reading and Writing</w:t>
            </w:r>
          </w:p>
        </w:tc>
        <w:tc>
          <w:tcPr>
            <w:tcW w:w="1091" w:type="dxa"/>
            <w:shd w:val="clear" w:color="auto" w:fill="auto"/>
            <w:vAlign w:val="center"/>
          </w:tcPr>
          <w:p w14:paraId="24F148DB">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0E62F9B3">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6127B5E6">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2888B23E">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470" w:type="dxa"/>
            <w:shd w:val="clear" w:color="auto" w:fill="auto"/>
            <w:vAlign w:val="center"/>
          </w:tcPr>
          <w:p w14:paraId="476EC7D9">
            <w:pPr>
              <w:pStyle w:val="20"/>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bl>
    <w:p w14:paraId="59301C6E">
      <w:pPr>
        <w:pStyle w:val="23"/>
        <w:spacing w:before="326"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2520"/>
        <w:gridCol w:w="2200"/>
        <w:gridCol w:w="1769"/>
        <w:gridCol w:w="681"/>
        <w:gridCol w:w="632"/>
        <w:gridCol w:w="674"/>
      </w:tblGrid>
      <w:tr w14:paraId="26FA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20" w:type="dxa"/>
            <w:vMerge w:val="restart"/>
            <w:tcBorders>
              <w:top w:val="single" w:color="auto" w:sz="12" w:space="0"/>
              <w:left w:val="single" w:color="auto" w:sz="12" w:space="0"/>
            </w:tcBorders>
            <w:tcMar>
              <w:top w:w="57" w:type="dxa"/>
              <w:left w:w="85" w:type="dxa"/>
              <w:bottom w:w="57" w:type="dxa"/>
              <w:right w:w="85" w:type="dxa"/>
            </w:tcMar>
            <w:vAlign w:val="center"/>
          </w:tcPr>
          <w:p w14:paraId="25F5693B">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200" w:type="dxa"/>
            <w:vMerge w:val="restart"/>
            <w:tcBorders>
              <w:top w:val="single" w:color="auto" w:sz="12" w:space="0"/>
            </w:tcBorders>
            <w:tcMar>
              <w:top w:w="57" w:type="dxa"/>
              <w:left w:w="85" w:type="dxa"/>
              <w:bottom w:w="57" w:type="dxa"/>
              <w:right w:w="85" w:type="dxa"/>
            </w:tcMar>
            <w:vAlign w:val="center"/>
          </w:tcPr>
          <w:p w14:paraId="10E27B9B">
            <w:pPr>
              <w:pStyle w:val="19"/>
              <w:widowControl w:val="0"/>
              <w:rPr>
                <w:szCs w:val="21"/>
              </w:rPr>
            </w:pPr>
            <w:r>
              <w:rPr>
                <w:rFonts w:hint="eastAsia" w:ascii="黑体" w:hAnsi="黑体"/>
                <w:szCs w:val="21"/>
              </w:rPr>
              <w:t>教与学方式</w:t>
            </w:r>
          </w:p>
        </w:tc>
        <w:tc>
          <w:tcPr>
            <w:tcW w:w="1769" w:type="dxa"/>
            <w:vMerge w:val="restart"/>
            <w:tcBorders>
              <w:top w:val="single" w:color="auto" w:sz="12" w:space="0"/>
            </w:tcBorders>
            <w:tcMar>
              <w:top w:w="57" w:type="dxa"/>
              <w:left w:w="85" w:type="dxa"/>
              <w:bottom w:w="57" w:type="dxa"/>
              <w:right w:w="85" w:type="dxa"/>
            </w:tcMar>
            <w:vAlign w:val="center"/>
          </w:tcPr>
          <w:p w14:paraId="694FBAF4">
            <w:pPr>
              <w:pStyle w:val="19"/>
              <w:widowControl w:val="0"/>
              <w:rPr>
                <w:rFonts w:ascii="黑体" w:hAnsi="黑体"/>
                <w:szCs w:val="21"/>
              </w:rPr>
            </w:pPr>
            <w:r>
              <w:rPr>
                <w:rFonts w:hint="eastAsia" w:ascii="黑体" w:hAnsi="黑体"/>
                <w:szCs w:val="21"/>
              </w:rPr>
              <w:t>考核方式</w:t>
            </w:r>
          </w:p>
        </w:tc>
        <w:tc>
          <w:tcPr>
            <w:tcW w:w="1987" w:type="dxa"/>
            <w:gridSpan w:val="3"/>
            <w:tcBorders>
              <w:top w:val="single" w:color="auto" w:sz="12" w:space="0"/>
              <w:right w:val="single" w:color="auto" w:sz="12" w:space="0"/>
            </w:tcBorders>
            <w:tcMar>
              <w:top w:w="57" w:type="dxa"/>
              <w:left w:w="85" w:type="dxa"/>
              <w:bottom w:w="57" w:type="dxa"/>
              <w:right w:w="85" w:type="dxa"/>
            </w:tcMar>
            <w:vAlign w:val="center"/>
          </w:tcPr>
          <w:p w14:paraId="5F4A9C64">
            <w:pPr>
              <w:pStyle w:val="19"/>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1CD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20" w:type="dxa"/>
            <w:vMerge w:val="continue"/>
            <w:tcBorders>
              <w:left w:val="single" w:color="auto" w:sz="12" w:space="0"/>
            </w:tcBorders>
            <w:tcMar>
              <w:top w:w="57" w:type="dxa"/>
              <w:left w:w="85" w:type="dxa"/>
              <w:bottom w:w="57" w:type="dxa"/>
              <w:right w:w="85" w:type="dxa"/>
            </w:tcMar>
          </w:tcPr>
          <w:p w14:paraId="4CB62C62">
            <w:pPr>
              <w:widowControl w:val="0"/>
              <w:snapToGrid w:val="0"/>
              <w:jc w:val="center"/>
              <w:rPr>
                <w:rFonts w:ascii="黑体" w:hAnsi="黑体" w:eastAsia="黑体"/>
                <w:bCs/>
                <w:sz w:val="21"/>
                <w:szCs w:val="21"/>
              </w:rPr>
            </w:pPr>
          </w:p>
        </w:tc>
        <w:tc>
          <w:tcPr>
            <w:tcW w:w="2200" w:type="dxa"/>
            <w:vMerge w:val="continue"/>
            <w:tcMar>
              <w:top w:w="57" w:type="dxa"/>
              <w:left w:w="85" w:type="dxa"/>
              <w:bottom w:w="57" w:type="dxa"/>
              <w:right w:w="85" w:type="dxa"/>
            </w:tcMar>
          </w:tcPr>
          <w:p w14:paraId="5A1856C4">
            <w:pPr>
              <w:widowControl w:val="0"/>
              <w:snapToGrid w:val="0"/>
              <w:jc w:val="center"/>
              <w:rPr>
                <w:rFonts w:ascii="黑体" w:hAnsi="黑体" w:eastAsia="黑体"/>
                <w:bCs/>
                <w:sz w:val="21"/>
                <w:szCs w:val="21"/>
              </w:rPr>
            </w:pPr>
          </w:p>
        </w:tc>
        <w:tc>
          <w:tcPr>
            <w:tcW w:w="1769" w:type="dxa"/>
            <w:vMerge w:val="continue"/>
            <w:tcMar>
              <w:top w:w="57" w:type="dxa"/>
              <w:left w:w="85" w:type="dxa"/>
              <w:bottom w:w="57" w:type="dxa"/>
              <w:right w:w="85" w:type="dxa"/>
            </w:tcMar>
          </w:tcPr>
          <w:p w14:paraId="078DD430">
            <w:pPr>
              <w:widowControl w:val="0"/>
              <w:snapToGrid w:val="0"/>
              <w:jc w:val="center"/>
              <w:rPr>
                <w:rFonts w:ascii="黑体" w:hAnsi="黑体" w:eastAsia="黑体"/>
                <w:bCs/>
                <w:sz w:val="21"/>
                <w:szCs w:val="21"/>
              </w:rPr>
            </w:pPr>
          </w:p>
        </w:tc>
        <w:tc>
          <w:tcPr>
            <w:tcW w:w="681" w:type="dxa"/>
            <w:tcMar>
              <w:top w:w="57" w:type="dxa"/>
              <w:left w:w="85" w:type="dxa"/>
              <w:bottom w:w="57" w:type="dxa"/>
              <w:right w:w="85" w:type="dxa"/>
            </w:tcMar>
            <w:vAlign w:val="center"/>
          </w:tcPr>
          <w:p w14:paraId="12708AF1">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32" w:type="dxa"/>
            <w:tcMar>
              <w:top w:w="57" w:type="dxa"/>
              <w:left w:w="85" w:type="dxa"/>
              <w:bottom w:w="57" w:type="dxa"/>
              <w:right w:w="85" w:type="dxa"/>
            </w:tcMar>
            <w:vAlign w:val="center"/>
          </w:tcPr>
          <w:p w14:paraId="536D4D14">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674" w:type="dxa"/>
            <w:tcBorders>
              <w:right w:val="single" w:color="auto" w:sz="12" w:space="0"/>
            </w:tcBorders>
            <w:tcMar>
              <w:top w:w="57" w:type="dxa"/>
              <w:left w:w="85" w:type="dxa"/>
              <w:bottom w:w="57" w:type="dxa"/>
              <w:right w:w="85" w:type="dxa"/>
            </w:tcMar>
            <w:vAlign w:val="center"/>
          </w:tcPr>
          <w:p w14:paraId="7B73E59E">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F95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20" w:type="dxa"/>
            <w:tcBorders>
              <w:left w:val="single" w:color="auto" w:sz="12" w:space="0"/>
            </w:tcBorders>
            <w:shd w:val="clear" w:color="auto" w:fill="auto"/>
            <w:tcMar>
              <w:top w:w="57" w:type="dxa"/>
              <w:left w:w="85" w:type="dxa"/>
              <w:bottom w:w="57" w:type="dxa"/>
              <w:right w:w="85" w:type="dxa"/>
            </w:tcMar>
            <w:vAlign w:val="center"/>
          </w:tcPr>
          <w:p w14:paraId="37705CD7">
            <w:pPr>
              <w:widowControl/>
              <w:numPr>
                <w:ilvl w:val="0"/>
                <w:numId w:val="3"/>
              </w:numPr>
              <w:ind w:left="425" w:leftChars="0" w:hanging="425" w:firstLineChars="0"/>
              <w:jc w:val="left"/>
              <w:rPr>
                <w:rFonts w:hint="eastAsia" w:ascii="华文宋体" w:hAnsi="华文宋体" w:eastAsia="华文宋体" w:cs="华文宋体"/>
                <w:kern w:val="0"/>
                <w:sz w:val="21"/>
                <w:szCs w:val="21"/>
                <w:highlight w:val="none"/>
                <w:lang w:val="en-US" w:eastAsia="zh-CN" w:bidi="ar-SA"/>
              </w:rPr>
            </w:pPr>
            <w:r>
              <w:rPr>
                <w:rFonts w:hint="default" w:ascii="华文宋体" w:hAnsi="华文宋体" w:eastAsia="华文宋体" w:cs="华文宋体"/>
                <w:kern w:val="0"/>
                <w:sz w:val="21"/>
                <w:szCs w:val="21"/>
                <w:highlight w:val="none"/>
                <w:lang w:val="en-US" w:eastAsia="zh-CN"/>
              </w:rPr>
              <w:t>雅思</w:t>
            </w:r>
            <w:r>
              <w:rPr>
                <w:rFonts w:hint="eastAsia" w:ascii="华文宋体" w:hAnsi="华文宋体" w:eastAsia="华文宋体" w:cs="华文宋体"/>
                <w:kern w:val="0"/>
                <w:sz w:val="21"/>
                <w:szCs w:val="21"/>
                <w:highlight w:val="none"/>
                <w:lang w:val="en-US" w:eastAsia="zh-CN"/>
              </w:rPr>
              <w:t>阅读与写作</w:t>
            </w:r>
            <w:r>
              <w:rPr>
                <w:rFonts w:hint="default" w:ascii="华文宋体" w:hAnsi="华文宋体" w:eastAsia="华文宋体" w:cs="华文宋体"/>
                <w:kern w:val="0"/>
                <w:sz w:val="21"/>
                <w:szCs w:val="21"/>
                <w:highlight w:val="none"/>
                <w:lang w:val="en-US" w:eastAsia="zh-CN"/>
              </w:rPr>
              <w:t xml:space="preserve">简介General Introduction of IELTS </w:t>
            </w:r>
            <w:r>
              <w:rPr>
                <w:rFonts w:hint="eastAsia" w:ascii="华文宋体" w:hAnsi="华文宋体" w:eastAsia="华文宋体" w:cs="华文宋体"/>
                <w:kern w:val="0"/>
                <w:sz w:val="21"/>
                <w:szCs w:val="21"/>
                <w:highlight w:val="none"/>
                <w:lang w:val="en-US" w:eastAsia="zh-CN"/>
              </w:rPr>
              <w:t>Reading</w:t>
            </w:r>
            <w:r>
              <w:rPr>
                <w:rFonts w:hint="default" w:ascii="华文宋体" w:hAnsi="华文宋体" w:eastAsia="华文宋体" w:cs="华文宋体"/>
                <w:kern w:val="0"/>
                <w:sz w:val="21"/>
                <w:szCs w:val="21"/>
                <w:highlight w:val="none"/>
                <w:lang w:val="en-US" w:eastAsia="zh-CN"/>
              </w:rPr>
              <w:t xml:space="preserve"> &amp; </w:t>
            </w:r>
            <w:r>
              <w:rPr>
                <w:rFonts w:hint="eastAsia" w:ascii="华文宋体" w:hAnsi="华文宋体" w:eastAsia="华文宋体" w:cs="华文宋体"/>
                <w:kern w:val="0"/>
                <w:sz w:val="21"/>
                <w:szCs w:val="21"/>
                <w:highlight w:val="none"/>
                <w:lang w:val="en-US" w:eastAsia="zh-CN"/>
              </w:rPr>
              <w:t xml:space="preserve">Writing </w:t>
            </w:r>
          </w:p>
        </w:tc>
        <w:tc>
          <w:tcPr>
            <w:tcW w:w="2200" w:type="dxa"/>
            <w:tcMar>
              <w:top w:w="57" w:type="dxa"/>
              <w:left w:w="85" w:type="dxa"/>
              <w:bottom w:w="57" w:type="dxa"/>
              <w:right w:w="85" w:type="dxa"/>
            </w:tcMar>
            <w:vAlign w:val="center"/>
          </w:tcPr>
          <w:p w14:paraId="19B44276">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讲述教学法、讨论教学法、PBL</w:t>
            </w:r>
          </w:p>
        </w:tc>
        <w:tc>
          <w:tcPr>
            <w:tcW w:w="1769" w:type="dxa"/>
            <w:tcMar>
              <w:top w:w="57" w:type="dxa"/>
              <w:left w:w="85" w:type="dxa"/>
              <w:bottom w:w="57" w:type="dxa"/>
              <w:right w:w="85" w:type="dxa"/>
            </w:tcMar>
            <w:vAlign w:val="center"/>
          </w:tcPr>
          <w:p w14:paraId="07B6D23E">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 xml:space="preserve"> 综合评价</w:t>
            </w:r>
          </w:p>
        </w:tc>
        <w:tc>
          <w:tcPr>
            <w:tcW w:w="681" w:type="dxa"/>
            <w:tcMar>
              <w:top w:w="57" w:type="dxa"/>
              <w:left w:w="85" w:type="dxa"/>
              <w:bottom w:w="57" w:type="dxa"/>
              <w:right w:w="85" w:type="dxa"/>
            </w:tcMar>
            <w:vAlign w:val="center"/>
          </w:tcPr>
          <w:p w14:paraId="65E69934">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c>
          <w:tcPr>
            <w:tcW w:w="632" w:type="dxa"/>
            <w:tcMar>
              <w:top w:w="57" w:type="dxa"/>
              <w:left w:w="85" w:type="dxa"/>
              <w:bottom w:w="57" w:type="dxa"/>
              <w:right w:w="85" w:type="dxa"/>
            </w:tcMar>
            <w:vAlign w:val="center"/>
          </w:tcPr>
          <w:p w14:paraId="186821AA">
            <w:pPr>
              <w:widowControl/>
              <w:jc w:val="both"/>
              <w:rPr>
                <w:rFonts w:hint="eastAsia" w:ascii="华文宋体" w:hAnsi="华文宋体" w:eastAsia="华文宋体" w:cs="华文宋体"/>
                <w:kern w:val="0"/>
                <w:sz w:val="21"/>
                <w:szCs w:val="21"/>
                <w:highlight w:val="none"/>
                <w:lang w:val="en-US" w:eastAsia="zh-CN"/>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2264F925">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r>
      <w:tr w14:paraId="28BF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20" w:type="dxa"/>
            <w:tcBorders>
              <w:left w:val="single" w:color="auto" w:sz="12" w:space="0"/>
            </w:tcBorders>
            <w:shd w:val="clear" w:color="auto" w:fill="auto"/>
            <w:tcMar>
              <w:top w:w="57" w:type="dxa"/>
              <w:left w:w="85" w:type="dxa"/>
              <w:bottom w:w="57" w:type="dxa"/>
              <w:right w:w="85" w:type="dxa"/>
            </w:tcMar>
            <w:vAlign w:val="center"/>
          </w:tcPr>
          <w:p w14:paraId="210C9ABB">
            <w:pPr>
              <w:widowControl/>
              <w:numPr>
                <w:ilvl w:val="0"/>
                <w:numId w:val="3"/>
              </w:numPr>
              <w:ind w:left="425" w:leftChars="0" w:hanging="425" w:firstLineChars="0"/>
              <w:jc w:val="both"/>
              <w:rPr>
                <w:rFonts w:hint="default" w:ascii="Times New Roman" w:hAnsi="Times New Roman" w:cs="Times New Roman" w:eastAsiaTheme="minorEastAsia"/>
                <w:sz w:val="21"/>
                <w:szCs w:val="21"/>
                <w:lang w:val="en-US" w:eastAsia="zh-CN" w:bidi="ar-SA"/>
              </w:rPr>
            </w:pPr>
            <w:r>
              <w:rPr>
                <w:rFonts w:hint="default" w:ascii="华文宋体" w:hAnsi="华文宋体" w:eastAsia="华文宋体" w:cs="华文宋体"/>
                <w:kern w:val="0"/>
                <w:sz w:val="21"/>
                <w:szCs w:val="21"/>
                <w:highlight w:val="none"/>
                <w:lang w:val="en-US" w:eastAsia="zh-CN"/>
              </w:rPr>
              <w:t>雅思阅读</w:t>
            </w:r>
            <w:r>
              <w:rPr>
                <w:rFonts w:hint="eastAsia" w:ascii="华文宋体" w:hAnsi="华文宋体" w:eastAsia="华文宋体" w:cs="华文宋体"/>
                <w:kern w:val="0"/>
                <w:sz w:val="21"/>
                <w:szCs w:val="21"/>
                <w:highlight w:val="none"/>
                <w:lang w:val="en-US" w:eastAsia="zh-CN"/>
              </w:rPr>
              <w:t xml:space="preserve"> </w:t>
            </w:r>
            <w:r>
              <w:rPr>
                <w:rFonts w:hint="eastAsia" w:ascii="华文宋体" w:hAnsi="华文宋体" w:eastAsia="华文宋体" w:cs="华文宋体"/>
                <w:sz w:val="21"/>
                <w:szCs w:val="21"/>
                <w:highlight w:val="none"/>
                <w:lang w:val="en-US" w:eastAsia="zh-CN"/>
              </w:rPr>
              <w:t>UNIT 1 Language&amp;Education</w:t>
            </w:r>
          </w:p>
        </w:tc>
        <w:tc>
          <w:tcPr>
            <w:tcW w:w="2200" w:type="dxa"/>
            <w:tcMar>
              <w:top w:w="57" w:type="dxa"/>
              <w:left w:w="85" w:type="dxa"/>
              <w:bottom w:w="57" w:type="dxa"/>
              <w:right w:w="85" w:type="dxa"/>
            </w:tcMar>
            <w:vAlign w:val="center"/>
          </w:tcPr>
          <w:p w14:paraId="5D12D93F">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讲述教学法、讨论教学法、PBL</w:t>
            </w:r>
          </w:p>
        </w:tc>
        <w:tc>
          <w:tcPr>
            <w:tcW w:w="1769" w:type="dxa"/>
            <w:tcMar>
              <w:top w:w="57" w:type="dxa"/>
              <w:left w:w="85" w:type="dxa"/>
              <w:bottom w:w="57" w:type="dxa"/>
              <w:right w:w="85" w:type="dxa"/>
            </w:tcMar>
            <w:vAlign w:val="center"/>
          </w:tcPr>
          <w:p w14:paraId="7FBB5850">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 xml:space="preserve"> 综合评价</w:t>
            </w:r>
          </w:p>
        </w:tc>
        <w:tc>
          <w:tcPr>
            <w:tcW w:w="681" w:type="dxa"/>
            <w:tcMar>
              <w:top w:w="57" w:type="dxa"/>
              <w:left w:w="85" w:type="dxa"/>
              <w:bottom w:w="57" w:type="dxa"/>
              <w:right w:w="85" w:type="dxa"/>
            </w:tcMar>
            <w:vAlign w:val="center"/>
          </w:tcPr>
          <w:p w14:paraId="70785919">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c>
          <w:tcPr>
            <w:tcW w:w="632" w:type="dxa"/>
            <w:tcMar>
              <w:top w:w="57" w:type="dxa"/>
              <w:left w:w="85" w:type="dxa"/>
              <w:bottom w:w="57" w:type="dxa"/>
              <w:right w:w="85" w:type="dxa"/>
            </w:tcMar>
            <w:vAlign w:val="center"/>
          </w:tcPr>
          <w:p w14:paraId="29A05AB9">
            <w:pPr>
              <w:widowControl/>
              <w:jc w:val="both"/>
              <w:rPr>
                <w:rFonts w:hint="eastAsia" w:ascii="华文宋体" w:hAnsi="华文宋体" w:eastAsia="华文宋体" w:cs="华文宋体"/>
                <w:kern w:val="0"/>
                <w:sz w:val="21"/>
                <w:szCs w:val="21"/>
                <w:highlight w:val="none"/>
                <w:lang w:val="en-US" w:eastAsia="zh-CN"/>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463E85ED">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r>
      <w:tr w14:paraId="61AC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20" w:type="dxa"/>
            <w:tcBorders>
              <w:left w:val="single" w:color="auto" w:sz="12" w:space="0"/>
            </w:tcBorders>
            <w:shd w:val="clear" w:color="auto" w:fill="auto"/>
            <w:tcMar>
              <w:top w:w="57" w:type="dxa"/>
              <w:left w:w="85" w:type="dxa"/>
              <w:bottom w:w="57" w:type="dxa"/>
              <w:right w:w="85" w:type="dxa"/>
            </w:tcMar>
            <w:vAlign w:val="center"/>
          </w:tcPr>
          <w:p w14:paraId="585BD4E4">
            <w:pPr>
              <w:widowControl/>
              <w:numPr>
                <w:ilvl w:val="0"/>
                <w:numId w:val="3"/>
              </w:numPr>
              <w:ind w:left="425" w:leftChars="0" w:hanging="425" w:firstLineChars="0"/>
              <w:jc w:val="both"/>
              <w:rPr>
                <w:rFonts w:hint="eastAsia"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rPr>
              <w:t>雅思写作</w:t>
            </w:r>
            <w:r>
              <w:rPr>
                <w:rFonts w:hint="eastAsia" w:ascii="华文宋体" w:hAnsi="华文宋体" w:eastAsia="华文宋体" w:cs="华文宋体"/>
                <w:sz w:val="21"/>
                <w:szCs w:val="21"/>
                <w:highlight w:val="none"/>
                <w:lang w:val="en-US" w:eastAsia="zh-CN"/>
              </w:rPr>
              <w:t xml:space="preserve"> UNIT 1 Language&amp;Education</w:t>
            </w:r>
          </w:p>
        </w:tc>
        <w:tc>
          <w:tcPr>
            <w:tcW w:w="2200" w:type="dxa"/>
            <w:shd w:val="clear" w:color="auto" w:fill="auto"/>
            <w:tcMar>
              <w:top w:w="57" w:type="dxa"/>
              <w:left w:w="85" w:type="dxa"/>
              <w:bottom w:w="57" w:type="dxa"/>
              <w:right w:w="85" w:type="dxa"/>
            </w:tcMar>
            <w:vAlign w:val="center"/>
          </w:tcPr>
          <w:p w14:paraId="109D29D6">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讲述教学法、讨论教学法、PBL</w:t>
            </w:r>
          </w:p>
        </w:tc>
        <w:tc>
          <w:tcPr>
            <w:tcW w:w="1769" w:type="dxa"/>
            <w:shd w:val="clear" w:color="auto" w:fill="auto"/>
            <w:tcMar>
              <w:top w:w="57" w:type="dxa"/>
              <w:left w:w="85" w:type="dxa"/>
              <w:bottom w:w="57" w:type="dxa"/>
              <w:right w:w="85" w:type="dxa"/>
            </w:tcMar>
            <w:vAlign w:val="center"/>
          </w:tcPr>
          <w:p w14:paraId="4732F2C1">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 xml:space="preserve"> 综合评价</w:t>
            </w:r>
          </w:p>
        </w:tc>
        <w:tc>
          <w:tcPr>
            <w:tcW w:w="681" w:type="dxa"/>
            <w:tcMar>
              <w:top w:w="57" w:type="dxa"/>
              <w:left w:w="85" w:type="dxa"/>
              <w:bottom w:w="57" w:type="dxa"/>
              <w:right w:w="85" w:type="dxa"/>
            </w:tcMar>
            <w:vAlign w:val="center"/>
          </w:tcPr>
          <w:p w14:paraId="36642E86">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c>
          <w:tcPr>
            <w:tcW w:w="632" w:type="dxa"/>
            <w:tcMar>
              <w:top w:w="57" w:type="dxa"/>
              <w:left w:w="85" w:type="dxa"/>
              <w:bottom w:w="57" w:type="dxa"/>
              <w:right w:w="85" w:type="dxa"/>
            </w:tcMar>
            <w:vAlign w:val="center"/>
          </w:tcPr>
          <w:p w14:paraId="5758EB4C">
            <w:pPr>
              <w:widowControl/>
              <w:jc w:val="both"/>
              <w:rPr>
                <w:rFonts w:hint="eastAsia" w:ascii="华文宋体" w:hAnsi="华文宋体" w:eastAsia="华文宋体" w:cs="华文宋体"/>
                <w:kern w:val="0"/>
                <w:sz w:val="21"/>
                <w:szCs w:val="21"/>
                <w:highlight w:val="none"/>
                <w:lang w:val="en-US" w:eastAsia="zh-CN"/>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2B65FA3E">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r>
      <w:tr w14:paraId="6864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20" w:type="dxa"/>
            <w:tcBorders>
              <w:left w:val="single" w:color="auto" w:sz="12" w:space="0"/>
            </w:tcBorders>
            <w:shd w:val="clear" w:color="auto" w:fill="auto"/>
            <w:tcMar>
              <w:top w:w="57" w:type="dxa"/>
              <w:left w:w="85" w:type="dxa"/>
              <w:bottom w:w="57" w:type="dxa"/>
              <w:right w:w="85" w:type="dxa"/>
            </w:tcMar>
            <w:vAlign w:val="center"/>
          </w:tcPr>
          <w:p w14:paraId="2D6B0767">
            <w:pPr>
              <w:widowControl/>
              <w:numPr>
                <w:ilvl w:val="0"/>
                <w:numId w:val="3"/>
              </w:numPr>
              <w:ind w:left="425" w:leftChars="0" w:hanging="425" w:firstLineChars="0"/>
              <w:jc w:val="both"/>
              <w:rPr>
                <w:rFonts w:hint="eastAsia" w:ascii="华文宋体" w:hAnsi="华文宋体" w:eastAsia="华文宋体" w:cs="华文宋体"/>
                <w:sz w:val="21"/>
                <w:szCs w:val="21"/>
                <w:highlight w:val="none"/>
                <w:lang w:val="en-US" w:eastAsia="zh-CN" w:bidi="ar-SA"/>
              </w:rPr>
            </w:pPr>
            <w:r>
              <w:rPr>
                <w:rFonts w:hint="default" w:ascii="华文宋体" w:hAnsi="华文宋体" w:eastAsia="华文宋体" w:cs="华文宋体"/>
                <w:kern w:val="0"/>
                <w:sz w:val="21"/>
                <w:szCs w:val="21"/>
                <w:highlight w:val="none"/>
                <w:lang w:val="en-US" w:eastAsia="zh-CN"/>
              </w:rPr>
              <w:t>雅思阅读</w:t>
            </w:r>
            <w:r>
              <w:rPr>
                <w:rFonts w:hint="eastAsia" w:ascii="华文宋体" w:hAnsi="华文宋体" w:eastAsia="华文宋体" w:cs="华文宋体"/>
                <w:kern w:val="0"/>
                <w:sz w:val="21"/>
                <w:szCs w:val="21"/>
                <w:highlight w:val="none"/>
                <w:lang w:val="en-US" w:eastAsia="zh-CN"/>
              </w:rPr>
              <w:t xml:space="preserve"> </w:t>
            </w:r>
            <w:r>
              <w:rPr>
                <w:rFonts w:hint="eastAsia" w:ascii="华文宋体" w:hAnsi="华文宋体" w:eastAsia="华文宋体" w:cs="华文宋体"/>
                <w:sz w:val="21"/>
                <w:szCs w:val="21"/>
                <w:highlight w:val="none"/>
                <w:lang w:val="en-US" w:eastAsia="zh-CN"/>
              </w:rPr>
              <w:t>UNIT 2 Travel &amp; Transport</w:t>
            </w:r>
          </w:p>
        </w:tc>
        <w:tc>
          <w:tcPr>
            <w:tcW w:w="2200" w:type="dxa"/>
            <w:shd w:val="clear" w:color="auto" w:fill="auto"/>
            <w:tcMar>
              <w:top w:w="57" w:type="dxa"/>
              <w:left w:w="85" w:type="dxa"/>
              <w:bottom w:w="57" w:type="dxa"/>
              <w:right w:w="85" w:type="dxa"/>
            </w:tcMar>
            <w:vAlign w:val="center"/>
          </w:tcPr>
          <w:p w14:paraId="69ABFF68">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讲述教学法、讨论教学法、PBL</w:t>
            </w:r>
          </w:p>
        </w:tc>
        <w:tc>
          <w:tcPr>
            <w:tcW w:w="1769" w:type="dxa"/>
            <w:shd w:val="clear" w:color="auto" w:fill="auto"/>
            <w:tcMar>
              <w:top w:w="57" w:type="dxa"/>
              <w:left w:w="85" w:type="dxa"/>
              <w:bottom w:w="57" w:type="dxa"/>
              <w:right w:w="85" w:type="dxa"/>
            </w:tcMar>
            <w:vAlign w:val="center"/>
          </w:tcPr>
          <w:p w14:paraId="598322B3">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 xml:space="preserve"> 综合评价</w:t>
            </w:r>
          </w:p>
        </w:tc>
        <w:tc>
          <w:tcPr>
            <w:tcW w:w="681" w:type="dxa"/>
            <w:shd w:val="clear" w:color="auto" w:fill="auto"/>
            <w:tcMar>
              <w:top w:w="57" w:type="dxa"/>
              <w:left w:w="85" w:type="dxa"/>
              <w:bottom w:w="57" w:type="dxa"/>
              <w:right w:w="85" w:type="dxa"/>
            </w:tcMar>
            <w:vAlign w:val="center"/>
          </w:tcPr>
          <w:p w14:paraId="24017ED8">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c>
          <w:tcPr>
            <w:tcW w:w="632" w:type="dxa"/>
            <w:tcMar>
              <w:top w:w="57" w:type="dxa"/>
              <w:left w:w="85" w:type="dxa"/>
              <w:bottom w:w="57" w:type="dxa"/>
              <w:right w:w="85" w:type="dxa"/>
            </w:tcMar>
            <w:vAlign w:val="center"/>
          </w:tcPr>
          <w:p w14:paraId="14B22195">
            <w:pPr>
              <w:widowControl/>
              <w:jc w:val="both"/>
              <w:rPr>
                <w:rFonts w:hint="eastAsia" w:ascii="华文宋体" w:hAnsi="华文宋体" w:eastAsia="华文宋体" w:cs="华文宋体"/>
                <w:kern w:val="0"/>
                <w:sz w:val="21"/>
                <w:szCs w:val="21"/>
                <w:highlight w:val="none"/>
                <w:lang w:val="en-US" w:eastAsia="zh-CN"/>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732D85CE">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r>
      <w:tr w14:paraId="66C3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2" w:hRule="atLeast"/>
          <w:jc w:val="center"/>
        </w:trPr>
        <w:tc>
          <w:tcPr>
            <w:tcW w:w="2520" w:type="dxa"/>
            <w:tcBorders>
              <w:left w:val="single" w:color="auto" w:sz="12" w:space="0"/>
            </w:tcBorders>
            <w:shd w:val="clear" w:color="auto" w:fill="auto"/>
            <w:tcMar>
              <w:top w:w="57" w:type="dxa"/>
              <w:left w:w="85" w:type="dxa"/>
              <w:bottom w:w="57" w:type="dxa"/>
              <w:right w:w="85" w:type="dxa"/>
            </w:tcMar>
            <w:vAlign w:val="center"/>
          </w:tcPr>
          <w:p w14:paraId="6D492DCE">
            <w:pPr>
              <w:widowControl/>
              <w:numPr>
                <w:ilvl w:val="0"/>
                <w:numId w:val="3"/>
              </w:numPr>
              <w:ind w:left="425" w:leftChars="0" w:hanging="425" w:firstLineChars="0"/>
              <w:jc w:val="both"/>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kern w:val="0"/>
                <w:sz w:val="21"/>
                <w:szCs w:val="21"/>
                <w:highlight w:val="none"/>
                <w:lang w:val="en-US" w:eastAsia="zh-CN"/>
              </w:rPr>
              <w:t>过程考X1</w:t>
            </w:r>
          </w:p>
        </w:tc>
        <w:tc>
          <w:tcPr>
            <w:tcW w:w="2200" w:type="dxa"/>
            <w:tcMar>
              <w:top w:w="57" w:type="dxa"/>
              <w:left w:w="85" w:type="dxa"/>
              <w:bottom w:w="57" w:type="dxa"/>
              <w:right w:w="85" w:type="dxa"/>
            </w:tcMar>
            <w:vAlign w:val="center"/>
          </w:tcPr>
          <w:p w14:paraId="1DBC7EFA">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随堂测试、练习教学法、解决问题学习法</w:t>
            </w:r>
          </w:p>
        </w:tc>
        <w:tc>
          <w:tcPr>
            <w:tcW w:w="1769" w:type="dxa"/>
            <w:tcMar>
              <w:top w:w="57" w:type="dxa"/>
              <w:left w:w="85" w:type="dxa"/>
              <w:bottom w:w="57" w:type="dxa"/>
              <w:right w:w="85" w:type="dxa"/>
            </w:tcMar>
            <w:vAlign w:val="center"/>
          </w:tcPr>
          <w:p w14:paraId="1194A7B3">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测试</w:t>
            </w:r>
          </w:p>
        </w:tc>
        <w:tc>
          <w:tcPr>
            <w:tcW w:w="681" w:type="dxa"/>
            <w:shd w:val="clear" w:color="auto" w:fill="auto"/>
            <w:tcMar>
              <w:top w:w="57" w:type="dxa"/>
              <w:left w:w="85" w:type="dxa"/>
              <w:bottom w:w="57" w:type="dxa"/>
              <w:right w:w="85" w:type="dxa"/>
            </w:tcMar>
            <w:vAlign w:val="center"/>
          </w:tcPr>
          <w:p w14:paraId="15A21DD5">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c>
          <w:tcPr>
            <w:tcW w:w="632" w:type="dxa"/>
            <w:tcMar>
              <w:top w:w="57" w:type="dxa"/>
              <w:left w:w="85" w:type="dxa"/>
              <w:bottom w:w="57" w:type="dxa"/>
              <w:right w:w="85" w:type="dxa"/>
            </w:tcMar>
            <w:vAlign w:val="center"/>
          </w:tcPr>
          <w:p w14:paraId="4A181B5A">
            <w:pPr>
              <w:widowControl/>
              <w:jc w:val="both"/>
              <w:rPr>
                <w:rFonts w:hint="eastAsia" w:ascii="华文宋体" w:hAnsi="华文宋体" w:eastAsia="华文宋体" w:cs="华文宋体"/>
                <w:kern w:val="0"/>
                <w:sz w:val="21"/>
                <w:szCs w:val="21"/>
                <w:highlight w:val="none"/>
                <w:lang w:val="en-US" w:eastAsia="zh-CN"/>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15CAC509">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r>
      <w:tr w14:paraId="182F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20" w:type="dxa"/>
            <w:tcBorders>
              <w:left w:val="single" w:color="auto" w:sz="12" w:space="0"/>
            </w:tcBorders>
            <w:shd w:val="clear" w:color="auto" w:fill="auto"/>
            <w:tcMar>
              <w:top w:w="57" w:type="dxa"/>
              <w:left w:w="85" w:type="dxa"/>
              <w:bottom w:w="57" w:type="dxa"/>
              <w:right w:w="85" w:type="dxa"/>
            </w:tcMar>
            <w:vAlign w:val="center"/>
          </w:tcPr>
          <w:p w14:paraId="163EDA27">
            <w:pPr>
              <w:widowControl/>
              <w:numPr>
                <w:ilvl w:val="0"/>
                <w:numId w:val="3"/>
              </w:numPr>
              <w:ind w:left="425" w:leftChars="0" w:hanging="425" w:firstLineChars="0"/>
              <w:jc w:val="both"/>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bidi="ar-SA"/>
              </w:rPr>
              <w:t xml:space="preserve">雅思写作 </w:t>
            </w:r>
            <w:r>
              <w:rPr>
                <w:rFonts w:hint="eastAsia" w:ascii="华文宋体" w:hAnsi="华文宋体" w:eastAsia="华文宋体" w:cs="华文宋体"/>
                <w:sz w:val="21"/>
                <w:szCs w:val="21"/>
                <w:highlight w:val="none"/>
                <w:lang w:val="en-US" w:eastAsia="zh-CN"/>
              </w:rPr>
              <w:t>UNIT 2 Travel &amp; Transport</w:t>
            </w:r>
          </w:p>
        </w:tc>
        <w:tc>
          <w:tcPr>
            <w:tcW w:w="2200" w:type="dxa"/>
            <w:shd w:val="clear" w:color="auto" w:fill="auto"/>
            <w:tcMar>
              <w:top w:w="57" w:type="dxa"/>
              <w:left w:w="85" w:type="dxa"/>
              <w:bottom w:w="57" w:type="dxa"/>
              <w:right w:w="85" w:type="dxa"/>
            </w:tcMar>
            <w:vAlign w:val="center"/>
          </w:tcPr>
          <w:p w14:paraId="77888ADE">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讲述教学法、讨论教学法、PBL</w:t>
            </w:r>
          </w:p>
        </w:tc>
        <w:tc>
          <w:tcPr>
            <w:tcW w:w="1769" w:type="dxa"/>
            <w:shd w:val="clear" w:color="auto" w:fill="auto"/>
            <w:tcMar>
              <w:top w:w="57" w:type="dxa"/>
              <w:left w:w="85" w:type="dxa"/>
              <w:bottom w:w="57" w:type="dxa"/>
              <w:right w:w="85" w:type="dxa"/>
            </w:tcMar>
            <w:vAlign w:val="center"/>
          </w:tcPr>
          <w:p w14:paraId="309E6936">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综合评价</w:t>
            </w:r>
          </w:p>
        </w:tc>
        <w:tc>
          <w:tcPr>
            <w:tcW w:w="681" w:type="dxa"/>
            <w:shd w:val="clear" w:color="auto" w:fill="auto"/>
            <w:tcMar>
              <w:top w:w="57" w:type="dxa"/>
              <w:left w:w="85" w:type="dxa"/>
              <w:bottom w:w="57" w:type="dxa"/>
              <w:right w:w="85" w:type="dxa"/>
            </w:tcMar>
            <w:vAlign w:val="center"/>
          </w:tcPr>
          <w:p w14:paraId="208C2CC3">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c>
          <w:tcPr>
            <w:tcW w:w="632" w:type="dxa"/>
            <w:tcMar>
              <w:top w:w="57" w:type="dxa"/>
              <w:left w:w="85" w:type="dxa"/>
              <w:bottom w:w="57" w:type="dxa"/>
              <w:right w:w="85" w:type="dxa"/>
            </w:tcMar>
            <w:vAlign w:val="center"/>
          </w:tcPr>
          <w:p w14:paraId="11FC0099">
            <w:pPr>
              <w:widowControl/>
              <w:jc w:val="both"/>
              <w:rPr>
                <w:rFonts w:hint="eastAsia" w:ascii="华文宋体" w:hAnsi="华文宋体" w:eastAsia="华文宋体" w:cs="华文宋体"/>
                <w:kern w:val="0"/>
                <w:sz w:val="21"/>
                <w:szCs w:val="21"/>
                <w:highlight w:val="none"/>
                <w:lang w:val="en-US" w:eastAsia="zh-CN"/>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37484D96">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r>
      <w:tr w14:paraId="2014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20" w:type="dxa"/>
            <w:tcBorders>
              <w:left w:val="single" w:color="auto" w:sz="12" w:space="0"/>
            </w:tcBorders>
            <w:shd w:val="clear" w:color="auto" w:fill="auto"/>
            <w:tcMar>
              <w:top w:w="57" w:type="dxa"/>
              <w:left w:w="85" w:type="dxa"/>
              <w:bottom w:w="57" w:type="dxa"/>
              <w:right w:w="85" w:type="dxa"/>
            </w:tcMar>
            <w:vAlign w:val="center"/>
          </w:tcPr>
          <w:p w14:paraId="444C22B8">
            <w:pPr>
              <w:widowControl/>
              <w:numPr>
                <w:ilvl w:val="0"/>
                <w:numId w:val="3"/>
              </w:numPr>
              <w:ind w:left="425" w:leftChars="0" w:hanging="425" w:firstLineChars="0"/>
              <w:jc w:val="both"/>
              <w:rPr>
                <w:rFonts w:hint="default" w:ascii="华文宋体" w:hAnsi="华文宋体" w:eastAsia="华文宋体" w:cs="华文宋体"/>
                <w:sz w:val="21"/>
                <w:szCs w:val="21"/>
                <w:highlight w:val="none"/>
                <w:lang w:val="en-US" w:eastAsia="zh-CN" w:bidi="ar-SA"/>
              </w:rPr>
            </w:pPr>
            <w:r>
              <w:rPr>
                <w:rFonts w:hint="default" w:ascii="华文宋体" w:hAnsi="华文宋体" w:eastAsia="华文宋体" w:cs="华文宋体"/>
                <w:kern w:val="0"/>
                <w:sz w:val="21"/>
                <w:szCs w:val="21"/>
                <w:highlight w:val="none"/>
                <w:lang w:val="en-US" w:eastAsia="zh-CN"/>
              </w:rPr>
              <w:t>雅思阅读</w:t>
            </w:r>
            <w:r>
              <w:rPr>
                <w:rFonts w:hint="eastAsia" w:ascii="华文宋体" w:hAnsi="华文宋体" w:eastAsia="华文宋体" w:cs="华文宋体"/>
                <w:sz w:val="21"/>
                <w:szCs w:val="21"/>
                <w:highlight w:val="none"/>
                <w:lang w:val="en-US" w:eastAsia="zh-CN"/>
              </w:rPr>
              <w:t>UNIT 3 Food&amp;Healthy Lifestyle</w:t>
            </w:r>
          </w:p>
        </w:tc>
        <w:tc>
          <w:tcPr>
            <w:tcW w:w="2200" w:type="dxa"/>
            <w:shd w:val="clear" w:color="auto" w:fill="auto"/>
            <w:tcMar>
              <w:top w:w="57" w:type="dxa"/>
              <w:left w:w="85" w:type="dxa"/>
              <w:bottom w:w="57" w:type="dxa"/>
              <w:right w:w="85" w:type="dxa"/>
            </w:tcMar>
            <w:vAlign w:val="center"/>
          </w:tcPr>
          <w:p w14:paraId="0FFD236C">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讲述教学法、讨论教学法、PBL</w:t>
            </w:r>
          </w:p>
        </w:tc>
        <w:tc>
          <w:tcPr>
            <w:tcW w:w="1769" w:type="dxa"/>
            <w:shd w:val="clear" w:color="auto" w:fill="auto"/>
            <w:tcMar>
              <w:top w:w="57" w:type="dxa"/>
              <w:left w:w="85" w:type="dxa"/>
              <w:bottom w:w="57" w:type="dxa"/>
              <w:right w:w="85" w:type="dxa"/>
            </w:tcMar>
            <w:vAlign w:val="center"/>
          </w:tcPr>
          <w:p w14:paraId="4BA3CEB2">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综合评价</w:t>
            </w:r>
          </w:p>
        </w:tc>
        <w:tc>
          <w:tcPr>
            <w:tcW w:w="681" w:type="dxa"/>
            <w:shd w:val="clear" w:color="auto" w:fill="auto"/>
            <w:tcMar>
              <w:top w:w="57" w:type="dxa"/>
              <w:left w:w="85" w:type="dxa"/>
              <w:bottom w:w="57" w:type="dxa"/>
              <w:right w:w="85" w:type="dxa"/>
            </w:tcMar>
            <w:vAlign w:val="center"/>
          </w:tcPr>
          <w:p w14:paraId="7FB2BFD2">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c>
          <w:tcPr>
            <w:tcW w:w="632" w:type="dxa"/>
            <w:tcMar>
              <w:top w:w="57" w:type="dxa"/>
              <w:left w:w="85" w:type="dxa"/>
              <w:bottom w:w="57" w:type="dxa"/>
              <w:right w:w="85" w:type="dxa"/>
            </w:tcMar>
            <w:vAlign w:val="center"/>
          </w:tcPr>
          <w:p w14:paraId="1390F819">
            <w:pPr>
              <w:widowControl/>
              <w:jc w:val="both"/>
              <w:rPr>
                <w:rFonts w:hint="eastAsia" w:ascii="华文宋体" w:hAnsi="华文宋体" w:eastAsia="华文宋体" w:cs="华文宋体"/>
                <w:kern w:val="0"/>
                <w:sz w:val="21"/>
                <w:szCs w:val="21"/>
                <w:highlight w:val="none"/>
                <w:lang w:val="en-US" w:eastAsia="zh-CN"/>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6C41AE0A">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r>
      <w:tr w14:paraId="7775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20" w:type="dxa"/>
            <w:tcBorders>
              <w:left w:val="single" w:color="auto" w:sz="12" w:space="0"/>
            </w:tcBorders>
            <w:shd w:val="clear" w:color="auto" w:fill="auto"/>
            <w:tcMar>
              <w:top w:w="57" w:type="dxa"/>
              <w:left w:w="85" w:type="dxa"/>
              <w:bottom w:w="57" w:type="dxa"/>
              <w:right w:w="85" w:type="dxa"/>
            </w:tcMar>
            <w:vAlign w:val="center"/>
          </w:tcPr>
          <w:p w14:paraId="3D68AC59">
            <w:pPr>
              <w:widowControl/>
              <w:numPr>
                <w:ilvl w:val="0"/>
                <w:numId w:val="3"/>
              </w:numPr>
              <w:ind w:left="425" w:leftChars="0" w:hanging="425" w:firstLineChars="0"/>
              <w:jc w:val="both"/>
              <w:rPr>
                <w:rFonts w:hint="eastAsia"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rPr>
              <w:t>雅思写</w:t>
            </w:r>
            <w:r>
              <w:rPr>
                <w:rFonts w:hint="eastAsia" w:ascii="华文宋体" w:hAnsi="华文宋体" w:eastAsia="华文宋体" w:cs="华文宋体"/>
                <w:sz w:val="21"/>
                <w:szCs w:val="21"/>
                <w:highlight w:val="none"/>
                <w:lang w:val="en-US" w:eastAsia="zh-CN"/>
              </w:rPr>
              <w:t>UNIT 3 Food&amp;Healthy Lifestyle</w:t>
            </w:r>
          </w:p>
        </w:tc>
        <w:tc>
          <w:tcPr>
            <w:tcW w:w="2200" w:type="dxa"/>
            <w:shd w:val="clear" w:color="auto" w:fill="auto"/>
            <w:tcMar>
              <w:top w:w="57" w:type="dxa"/>
              <w:left w:w="85" w:type="dxa"/>
              <w:bottom w:w="57" w:type="dxa"/>
              <w:right w:w="85" w:type="dxa"/>
            </w:tcMar>
            <w:vAlign w:val="center"/>
          </w:tcPr>
          <w:p w14:paraId="763435C4">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讲述教学法、讨论教学法、PBL</w:t>
            </w:r>
          </w:p>
        </w:tc>
        <w:tc>
          <w:tcPr>
            <w:tcW w:w="1769" w:type="dxa"/>
            <w:shd w:val="clear" w:color="auto" w:fill="auto"/>
            <w:tcMar>
              <w:top w:w="57" w:type="dxa"/>
              <w:left w:w="85" w:type="dxa"/>
              <w:bottom w:w="57" w:type="dxa"/>
              <w:right w:w="85" w:type="dxa"/>
            </w:tcMar>
            <w:vAlign w:val="center"/>
          </w:tcPr>
          <w:p w14:paraId="58221311">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综合评价</w:t>
            </w:r>
          </w:p>
        </w:tc>
        <w:tc>
          <w:tcPr>
            <w:tcW w:w="681" w:type="dxa"/>
            <w:shd w:val="clear" w:color="auto" w:fill="auto"/>
            <w:tcMar>
              <w:top w:w="57" w:type="dxa"/>
              <w:left w:w="85" w:type="dxa"/>
              <w:bottom w:w="57" w:type="dxa"/>
              <w:right w:w="85" w:type="dxa"/>
            </w:tcMar>
            <w:vAlign w:val="center"/>
          </w:tcPr>
          <w:p w14:paraId="4F378C48">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c>
          <w:tcPr>
            <w:tcW w:w="632" w:type="dxa"/>
            <w:tcMar>
              <w:top w:w="57" w:type="dxa"/>
              <w:left w:w="85" w:type="dxa"/>
              <w:bottom w:w="57" w:type="dxa"/>
              <w:right w:w="85" w:type="dxa"/>
            </w:tcMar>
            <w:vAlign w:val="center"/>
          </w:tcPr>
          <w:p w14:paraId="00E160A8">
            <w:pPr>
              <w:widowControl/>
              <w:jc w:val="both"/>
              <w:rPr>
                <w:rFonts w:hint="eastAsia" w:ascii="华文宋体" w:hAnsi="华文宋体" w:eastAsia="华文宋体" w:cs="华文宋体"/>
                <w:kern w:val="0"/>
                <w:sz w:val="21"/>
                <w:szCs w:val="21"/>
                <w:highlight w:val="none"/>
                <w:lang w:val="en-US" w:eastAsia="zh-CN"/>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098DB58B">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r>
      <w:tr w14:paraId="2547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20" w:type="dxa"/>
            <w:tcBorders>
              <w:left w:val="single" w:color="auto" w:sz="12" w:space="0"/>
            </w:tcBorders>
            <w:shd w:val="clear" w:color="auto" w:fill="auto"/>
            <w:tcMar>
              <w:top w:w="57" w:type="dxa"/>
              <w:left w:w="85" w:type="dxa"/>
              <w:bottom w:w="57" w:type="dxa"/>
              <w:right w:w="85" w:type="dxa"/>
            </w:tcMar>
            <w:vAlign w:val="center"/>
          </w:tcPr>
          <w:p w14:paraId="753150A8">
            <w:pPr>
              <w:widowControl/>
              <w:numPr>
                <w:ilvl w:val="0"/>
                <w:numId w:val="3"/>
              </w:numPr>
              <w:ind w:left="425" w:leftChars="0" w:hanging="425" w:firstLineChars="0"/>
              <w:jc w:val="both"/>
              <w:rPr>
                <w:rFonts w:hint="eastAsia" w:ascii="华文宋体" w:hAnsi="华文宋体" w:eastAsia="华文宋体" w:cs="华文宋体"/>
                <w:sz w:val="21"/>
                <w:szCs w:val="21"/>
                <w:highlight w:val="none"/>
                <w:lang w:val="en-US" w:eastAsia="zh-CN" w:bidi="ar-SA"/>
              </w:rPr>
            </w:pPr>
            <w:r>
              <w:rPr>
                <w:rFonts w:hint="default" w:ascii="华文宋体" w:hAnsi="华文宋体" w:eastAsia="华文宋体" w:cs="华文宋体"/>
                <w:kern w:val="0"/>
                <w:sz w:val="21"/>
                <w:szCs w:val="21"/>
                <w:highlight w:val="none"/>
                <w:lang w:val="en-US" w:eastAsia="zh-CN"/>
              </w:rPr>
              <w:t>雅思阅读</w:t>
            </w:r>
            <w:r>
              <w:rPr>
                <w:rFonts w:hint="eastAsia" w:ascii="华文宋体" w:hAnsi="华文宋体" w:eastAsia="华文宋体" w:cs="华文宋体"/>
                <w:sz w:val="21"/>
                <w:szCs w:val="21"/>
                <w:highlight w:val="none"/>
                <w:lang w:val="en-US" w:eastAsia="zh-CN"/>
              </w:rPr>
              <w:t>UNIT 4 Culture&amp;Traditions</w:t>
            </w:r>
          </w:p>
        </w:tc>
        <w:tc>
          <w:tcPr>
            <w:tcW w:w="2200" w:type="dxa"/>
            <w:shd w:val="clear" w:color="auto" w:fill="auto"/>
            <w:tcMar>
              <w:top w:w="57" w:type="dxa"/>
              <w:left w:w="85" w:type="dxa"/>
              <w:bottom w:w="57" w:type="dxa"/>
              <w:right w:w="85" w:type="dxa"/>
            </w:tcMar>
            <w:vAlign w:val="center"/>
          </w:tcPr>
          <w:p w14:paraId="04885AA5">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讲述教学法、讨论教学法、PBL</w:t>
            </w:r>
          </w:p>
        </w:tc>
        <w:tc>
          <w:tcPr>
            <w:tcW w:w="1769" w:type="dxa"/>
            <w:shd w:val="clear" w:color="auto" w:fill="auto"/>
            <w:tcMar>
              <w:top w:w="57" w:type="dxa"/>
              <w:left w:w="85" w:type="dxa"/>
              <w:bottom w:w="57" w:type="dxa"/>
              <w:right w:w="85" w:type="dxa"/>
            </w:tcMar>
            <w:vAlign w:val="center"/>
          </w:tcPr>
          <w:p w14:paraId="013D63CB">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综合评价</w:t>
            </w:r>
          </w:p>
        </w:tc>
        <w:tc>
          <w:tcPr>
            <w:tcW w:w="681" w:type="dxa"/>
            <w:shd w:val="clear" w:color="auto" w:fill="auto"/>
            <w:tcMar>
              <w:top w:w="57" w:type="dxa"/>
              <w:left w:w="85" w:type="dxa"/>
              <w:bottom w:w="57" w:type="dxa"/>
              <w:right w:w="85" w:type="dxa"/>
            </w:tcMar>
            <w:vAlign w:val="center"/>
          </w:tcPr>
          <w:p w14:paraId="265B7322">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c>
          <w:tcPr>
            <w:tcW w:w="632" w:type="dxa"/>
            <w:tcMar>
              <w:top w:w="57" w:type="dxa"/>
              <w:left w:w="85" w:type="dxa"/>
              <w:bottom w:w="57" w:type="dxa"/>
              <w:right w:w="85" w:type="dxa"/>
            </w:tcMar>
            <w:vAlign w:val="center"/>
          </w:tcPr>
          <w:p w14:paraId="476AE93D">
            <w:pPr>
              <w:widowControl/>
              <w:jc w:val="both"/>
              <w:rPr>
                <w:rFonts w:hint="eastAsia" w:ascii="华文宋体" w:hAnsi="华文宋体" w:eastAsia="华文宋体" w:cs="华文宋体"/>
                <w:kern w:val="0"/>
                <w:sz w:val="21"/>
                <w:szCs w:val="21"/>
                <w:highlight w:val="none"/>
                <w:lang w:val="en-US" w:eastAsia="zh-CN"/>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46C81492">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3</w:t>
            </w:r>
          </w:p>
        </w:tc>
      </w:tr>
      <w:tr w14:paraId="0479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20" w:type="dxa"/>
            <w:tcBorders>
              <w:left w:val="single" w:color="auto" w:sz="12" w:space="0"/>
            </w:tcBorders>
            <w:shd w:val="clear" w:color="auto" w:fill="auto"/>
            <w:tcMar>
              <w:top w:w="57" w:type="dxa"/>
              <w:left w:w="85" w:type="dxa"/>
              <w:bottom w:w="57" w:type="dxa"/>
              <w:right w:w="85" w:type="dxa"/>
            </w:tcMar>
            <w:vAlign w:val="center"/>
          </w:tcPr>
          <w:p w14:paraId="7B55AE46">
            <w:pPr>
              <w:widowControl/>
              <w:numPr>
                <w:ilvl w:val="0"/>
                <w:numId w:val="3"/>
              </w:numPr>
              <w:ind w:left="425" w:leftChars="0" w:hanging="425" w:firstLineChars="0"/>
              <w:jc w:val="both"/>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kern w:val="0"/>
                <w:sz w:val="21"/>
                <w:szCs w:val="21"/>
                <w:highlight w:val="none"/>
                <w:lang w:val="en-US" w:eastAsia="zh-CN"/>
              </w:rPr>
              <w:t>过程考X2</w:t>
            </w:r>
          </w:p>
        </w:tc>
        <w:tc>
          <w:tcPr>
            <w:tcW w:w="2200" w:type="dxa"/>
            <w:shd w:val="clear" w:color="auto" w:fill="auto"/>
            <w:tcMar>
              <w:top w:w="57" w:type="dxa"/>
              <w:left w:w="85" w:type="dxa"/>
              <w:bottom w:w="57" w:type="dxa"/>
              <w:right w:w="85" w:type="dxa"/>
            </w:tcMar>
            <w:vAlign w:val="center"/>
          </w:tcPr>
          <w:p w14:paraId="7EA18896">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随堂测试、练习教学法、解决问题学习法</w:t>
            </w:r>
          </w:p>
        </w:tc>
        <w:tc>
          <w:tcPr>
            <w:tcW w:w="1769" w:type="dxa"/>
            <w:shd w:val="clear" w:color="auto" w:fill="auto"/>
            <w:tcMar>
              <w:top w:w="57" w:type="dxa"/>
              <w:left w:w="85" w:type="dxa"/>
              <w:bottom w:w="57" w:type="dxa"/>
              <w:right w:w="85" w:type="dxa"/>
            </w:tcMar>
            <w:vAlign w:val="center"/>
          </w:tcPr>
          <w:p w14:paraId="7DB6154A">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测试</w:t>
            </w:r>
          </w:p>
        </w:tc>
        <w:tc>
          <w:tcPr>
            <w:tcW w:w="681" w:type="dxa"/>
            <w:shd w:val="clear" w:color="auto" w:fill="auto"/>
            <w:tcMar>
              <w:top w:w="57" w:type="dxa"/>
              <w:left w:w="85" w:type="dxa"/>
              <w:bottom w:w="57" w:type="dxa"/>
              <w:right w:w="85" w:type="dxa"/>
            </w:tcMar>
            <w:vAlign w:val="center"/>
          </w:tcPr>
          <w:p w14:paraId="12EA8EE7">
            <w:pPr>
              <w:widowControl/>
              <w:jc w:val="both"/>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3</w:t>
            </w:r>
          </w:p>
        </w:tc>
        <w:tc>
          <w:tcPr>
            <w:tcW w:w="632" w:type="dxa"/>
            <w:tcMar>
              <w:top w:w="57" w:type="dxa"/>
              <w:left w:w="85" w:type="dxa"/>
              <w:bottom w:w="57" w:type="dxa"/>
              <w:right w:w="85" w:type="dxa"/>
            </w:tcMar>
            <w:vAlign w:val="center"/>
          </w:tcPr>
          <w:p w14:paraId="39754607">
            <w:pPr>
              <w:widowControl/>
              <w:jc w:val="both"/>
              <w:rPr>
                <w:rFonts w:hint="eastAsia" w:ascii="华文宋体" w:hAnsi="华文宋体" w:eastAsia="华文宋体" w:cs="华文宋体"/>
                <w:kern w:val="0"/>
                <w:sz w:val="21"/>
                <w:szCs w:val="21"/>
                <w:highlight w:val="none"/>
                <w:lang w:val="en-US" w:eastAsia="zh-CN"/>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59EF6223">
            <w:pPr>
              <w:widowControl/>
              <w:jc w:val="both"/>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3</w:t>
            </w:r>
          </w:p>
        </w:tc>
      </w:tr>
      <w:tr w14:paraId="0E65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20" w:type="dxa"/>
            <w:tcBorders>
              <w:left w:val="single" w:color="auto" w:sz="12" w:space="0"/>
            </w:tcBorders>
            <w:shd w:val="clear" w:color="auto" w:fill="auto"/>
            <w:tcMar>
              <w:top w:w="57" w:type="dxa"/>
              <w:left w:w="85" w:type="dxa"/>
              <w:bottom w:w="57" w:type="dxa"/>
              <w:right w:w="85" w:type="dxa"/>
            </w:tcMar>
            <w:vAlign w:val="center"/>
          </w:tcPr>
          <w:p w14:paraId="56EDDAAF">
            <w:pPr>
              <w:widowControl/>
              <w:numPr>
                <w:ilvl w:val="0"/>
                <w:numId w:val="3"/>
              </w:numPr>
              <w:ind w:left="425" w:leftChars="0" w:hanging="425" w:firstLineChars="0"/>
              <w:jc w:val="both"/>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rPr>
              <w:t>雅思写作</w:t>
            </w:r>
            <w:r>
              <w:rPr>
                <w:rFonts w:hint="eastAsia" w:ascii="华文宋体" w:hAnsi="华文宋体" w:eastAsia="华文宋体" w:cs="华文宋体"/>
                <w:sz w:val="21"/>
                <w:szCs w:val="21"/>
                <w:highlight w:val="none"/>
                <w:lang w:val="en-US" w:eastAsia="zh-CN"/>
              </w:rPr>
              <w:t>UNIT 4 Culture&amp;Traditions</w:t>
            </w:r>
            <w:r>
              <w:rPr>
                <w:rFonts w:hint="eastAsia" w:ascii="华文宋体" w:hAnsi="华文宋体" w:eastAsia="华文宋体" w:cs="华文宋体"/>
                <w:sz w:val="21"/>
                <w:szCs w:val="21"/>
                <w:highlight w:val="none"/>
              </w:rPr>
              <w:t xml:space="preserve"> </w:t>
            </w:r>
          </w:p>
        </w:tc>
        <w:tc>
          <w:tcPr>
            <w:tcW w:w="2200" w:type="dxa"/>
            <w:shd w:val="clear" w:color="auto" w:fill="auto"/>
            <w:tcMar>
              <w:top w:w="57" w:type="dxa"/>
              <w:left w:w="85" w:type="dxa"/>
              <w:bottom w:w="57" w:type="dxa"/>
              <w:right w:w="85" w:type="dxa"/>
            </w:tcMar>
            <w:vAlign w:val="center"/>
          </w:tcPr>
          <w:p w14:paraId="6556382E">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讲述教学法、讨论教学法、PBL</w:t>
            </w:r>
          </w:p>
        </w:tc>
        <w:tc>
          <w:tcPr>
            <w:tcW w:w="1769" w:type="dxa"/>
            <w:shd w:val="clear" w:color="auto" w:fill="auto"/>
            <w:tcMar>
              <w:top w:w="57" w:type="dxa"/>
              <w:left w:w="85" w:type="dxa"/>
              <w:bottom w:w="57" w:type="dxa"/>
              <w:right w:w="85" w:type="dxa"/>
            </w:tcMar>
            <w:vAlign w:val="center"/>
          </w:tcPr>
          <w:p w14:paraId="33C9E254">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综合评价</w:t>
            </w:r>
          </w:p>
        </w:tc>
        <w:tc>
          <w:tcPr>
            <w:tcW w:w="681" w:type="dxa"/>
            <w:shd w:val="clear" w:color="auto" w:fill="auto"/>
            <w:tcMar>
              <w:top w:w="57" w:type="dxa"/>
              <w:left w:w="85" w:type="dxa"/>
              <w:bottom w:w="57" w:type="dxa"/>
              <w:right w:w="85" w:type="dxa"/>
            </w:tcMar>
            <w:vAlign w:val="center"/>
          </w:tcPr>
          <w:p w14:paraId="5F7B7690">
            <w:pPr>
              <w:widowControl/>
              <w:jc w:val="both"/>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3</w:t>
            </w:r>
          </w:p>
        </w:tc>
        <w:tc>
          <w:tcPr>
            <w:tcW w:w="632" w:type="dxa"/>
            <w:tcMar>
              <w:top w:w="57" w:type="dxa"/>
              <w:left w:w="85" w:type="dxa"/>
              <w:bottom w:w="57" w:type="dxa"/>
              <w:right w:w="85" w:type="dxa"/>
            </w:tcMar>
            <w:vAlign w:val="center"/>
          </w:tcPr>
          <w:p w14:paraId="31E4D0C4">
            <w:pPr>
              <w:widowControl/>
              <w:jc w:val="both"/>
              <w:rPr>
                <w:rFonts w:hint="eastAsia" w:ascii="华文宋体" w:hAnsi="华文宋体" w:eastAsia="华文宋体" w:cs="华文宋体"/>
                <w:kern w:val="0"/>
                <w:sz w:val="21"/>
                <w:szCs w:val="21"/>
                <w:highlight w:val="none"/>
                <w:lang w:val="en-US" w:eastAsia="zh-CN"/>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39EE26F5">
            <w:pPr>
              <w:widowControl/>
              <w:jc w:val="both"/>
              <w:rPr>
                <w:rFonts w:hint="default"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3</w:t>
            </w:r>
          </w:p>
        </w:tc>
      </w:tr>
      <w:tr w14:paraId="6C7F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20" w:type="dxa"/>
            <w:tcBorders>
              <w:left w:val="single" w:color="auto" w:sz="12" w:space="0"/>
            </w:tcBorders>
            <w:shd w:val="clear" w:color="auto" w:fill="auto"/>
            <w:tcMar>
              <w:top w:w="57" w:type="dxa"/>
              <w:left w:w="85" w:type="dxa"/>
              <w:bottom w:w="57" w:type="dxa"/>
              <w:right w:w="85" w:type="dxa"/>
            </w:tcMar>
            <w:vAlign w:val="center"/>
          </w:tcPr>
          <w:p w14:paraId="37D05282">
            <w:pPr>
              <w:widowControl/>
              <w:numPr>
                <w:ilvl w:val="0"/>
                <w:numId w:val="3"/>
              </w:numPr>
              <w:ind w:left="425" w:leftChars="0" w:hanging="425" w:firstLineChars="0"/>
              <w:jc w:val="both"/>
              <w:rPr>
                <w:rFonts w:hint="default" w:ascii="华文宋体" w:hAnsi="华文宋体" w:eastAsia="华文宋体" w:cs="华文宋体"/>
                <w:sz w:val="21"/>
                <w:szCs w:val="21"/>
                <w:highlight w:val="none"/>
                <w:lang w:val="en-US" w:eastAsia="zh-CN" w:bidi="ar-SA"/>
              </w:rPr>
            </w:pPr>
            <w:r>
              <w:rPr>
                <w:rFonts w:hint="default" w:ascii="华文宋体" w:hAnsi="华文宋体" w:eastAsia="华文宋体" w:cs="华文宋体"/>
                <w:kern w:val="0"/>
                <w:sz w:val="21"/>
                <w:szCs w:val="21"/>
                <w:highlight w:val="none"/>
                <w:lang w:val="en-US" w:eastAsia="zh-CN"/>
              </w:rPr>
              <w:t>雅思阅读</w:t>
            </w:r>
            <w:r>
              <w:rPr>
                <w:rFonts w:hint="eastAsia" w:ascii="华文宋体" w:hAnsi="华文宋体" w:eastAsia="华文宋体" w:cs="华文宋体"/>
                <w:sz w:val="21"/>
                <w:szCs w:val="21"/>
                <w:highlight w:val="none"/>
                <w:lang w:val="en-US" w:eastAsia="zh-CN" w:bidi="ar-SA"/>
              </w:rPr>
              <w:t>UNIT 5 Shopping&amp;Consumerism</w:t>
            </w:r>
          </w:p>
        </w:tc>
        <w:tc>
          <w:tcPr>
            <w:tcW w:w="2200" w:type="dxa"/>
            <w:shd w:val="clear" w:color="auto" w:fill="auto"/>
            <w:tcMar>
              <w:top w:w="57" w:type="dxa"/>
              <w:left w:w="85" w:type="dxa"/>
              <w:bottom w:w="57" w:type="dxa"/>
              <w:right w:w="85" w:type="dxa"/>
            </w:tcMar>
            <w:vAlign w:val="center"/>
          </w:tcPr>
          <w:p w14:paraId="77513D4F">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讲述教学法、讨论教学法、PBL</w:t>
            </w:r>
          </w:p>
        </w:tc>
        <w:tc>
          <w:tcPr>
            <w:tcW w:w="1769" w:type="dxa"/>
            <w:shd w:val="clear" w:color="auto" w:fill="auto"/>
            <w:tcMar>
              <w:top w:w="57" w:type="dxa"/>
              <w:left w:w="85" w:type="dxa"/>
              <w:bottom w:w="57" w:type="dxa"/>
              <w:right w:w="85" w:type="dxa"/>
            </w:tcMar>
            <w:vAlign w:val="center"/>
          </w:tcPr>
          <w:p w14:paraId="5F8F762C">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综合评价</w:t>
            </w:r>
          </w:p>
        </w:tc>
        <w:tc>
          <w:tcPr>
            <w:tcW w:w="681" w:type="dxa"/>
            <w:shd w:val="clear" w:color="auto" w:fill="auto"/>
            <w:tcMar>
              <w:top w:w="57" w:type="dxa"/>
              <w:left w:w="85" w:type="dxa"/>
              <w:bottom w:w="57" w:type="dxa"/>
              <w:right w:w="85" w:type="dxa"/>
            </w:tcMar>
            <w:vAlign w:val="center"/>
          </w:tcPr>
          <w:p w14:paraId="28B3167B">
            <w:pPr>
              <w:widowControl/>
              <w:jc w:val="both"/>
              <w:rPr>
                <w:rFonts w:hint="eastAsia"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3</w:t>
            </w:r>
          </w:p>
        </w:tc>
        <w:tc>
          <w:tcPr>
            <w:tcW w:w="632" w:type="dxa"/>
            <w:shd w:val="clear" w:color="auto" w:fill="auto"/>
            <w:tcMar>
              <w:top w:w="57" w:type="dxa"/>
              <w:left w:w="85" w:type="dxa"/>
              <w:bottom w:w="57" w:type="dxa"/>
              <w:right w:w="85" w:type="dxa"/>
            </w:tcMar>
            <w:vAlign w:val="center"/>
          </w:tcPr>
          <w:p w14:paraId="38F7D02F">
            <w:pPr>
              <w:widowControl/>
              <w:jc w:val="both"/>
              <w:rPr>
                <w:rFonts w:hint="eastAsia" w:ascii="华文宋体" w:hAnsi="华文宋体" w:eastAsia="华文宋体" w:cs="华文宋体"/>
                <w:kern w:val="0"/>
                <w:sz w:val="21"/>
                <w:szCs w:val="21"/>
                <w:highlight w:val="none"/>
                <w:lang w:val="en-US" w:eastAsia="zh-CN"/>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55E25873">
            <w:pPr>
              <w:widowControl/>
              <w:jc w:val="both"/>
              <w:rPr>
                <w:rFonts w:hint="eastAsia"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3</w:t>
            </w:r>
          </w:p>
        </w:tc>
      </w:tr>
      <w:tr w14:paraId="3EB0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20" w:type="dxa"/>
            <w:tcBorders>
              <w:left w:val="single" w:color="auto" w:sz="12" w:space="0"/>
            </w:tcBorders>
            <w:shd w:val="clear" w:color="auto" w:fill="auto"/>
            <w:tcMar>
              <w:top w:w="57" w:type="dxa"/>
              <w:left w:w="85" w:type="dxa"/>
              <w:bottom w:w="57" w:type="dxa"/>
              <w:right w:w="85" w:type="dxa"/>
            </w:tcMar>
            <w:vAlign w:val="center"/>
          </w:tcPr>
          <w:p w14:paraId="1C1A6C83">
            <w:pPr>
              <w:widowControl/>
              <w:numPr>
                <w:ilvl w:val="0"/>
                <w:numId w:val="3"/>
              </w:numPr>
              <w:ind w:left="425" w:leftChars="0" w:hanging="425" w:firstLineChars="0"/>
              <w:jc w:val="both"/>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rPr>
              <w:t>雅思写作</w:t>
            </w:r>
            <w:r>
              <w:rPr>
                <w:rFonts w:hint="eastAsia" w:ascii="华文宋体" w:hAnsi="华文宋体" w:eastAsia="华文宋体" w:cs="华文宋体"/>
                <w:sz w:val="21"/>
                <w:szCs w:val="21"/>
                <w:highlight w:val="none"/>
                <w:lang w:val="en-US" w:eastAsia="zh-CN"/>
              </w:rPr>
              <w:t xml:space="preserve"> </w:t>
            </w:r>
            <w:r>
              <w:rPr>
                <w:rFonts w:hint="eastAsia" w:ascii="华文宋体" w:hAnsi="华文宋体" w:eastAsia="华文宋体" w:cs="华文宋体"/>
                <w:sz w:val="21"/>
                <w:szCs w:val="21"/>
                <w:highlight w:val="none"/>
                <w:lang w:val="en-US" w:eastAsia="zh-CN" w:bidi="ar-SA"/>
              </w:rPr>
              <w:t>UNIT 5 Shopping&amp;Consumerism</w:t>
            </w:r>
          </w:p>
        </w:tc>
        <w:tc>
          <w:tcPr>
            <w:tcW w:w="2200" w:type="dxa"/>
            <w:shd w:val="clear" w:color="auto" w:fill="auto"/>
            <w:tcMar>
              <w:top w:w="57" w:type="dxa"/>
              <w:left w:w="85" w:type="dxa"/>
              <w:bottom w:w="57" w:type="dxa"/>
              <w:right w:w="85" w:type="dxa"/>
            </w:tcMar>
            <w:vAlign w:val="center"/>
          </w:tcPr>
          <w:p w14:paraId="713308F6">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讲述教学法、讨论教学法、PBL</w:t>
            </w:r>
          </w:p>
        </w:tc>
        <w:tc>
          <w:tcPr>
            <w:tcW w:w="1769" w:type="dxa"/>
            <w:shd w:val="clear" w:color="auto" w:fill="auto"/>
            <w:tcMar>
              <w:top w:w="57" w:type="dxa"/>
              <w:left w:w="85" w:type="dxa"/>
              <w:bottom w:w="57" w:type="dxa"/>
              <w:right w:w="85" w:type="dxa"/>
            </w:tcMar>
            <w:vAlign w:val="center"/>
          </w:tcPr>
          <w:p w14:paraId="20163B49">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综合评价</w:t>
            </w:r>
          </w:p>
        </w:tc>
        <w:tc>
          <w:tcPr>
            <w:tcW w:w="681" w:type="dxa"/>
            <w:shd w:val="clear" w:color="auto" w:fill="auto"/>
            <w:tcMar>
              <w:top w:w="57" w:type="dxa"/>
              <w:left w:w="85" w:type="dxa"/>
              <w:bottom w:w="57" w:type="dxa"/>
              <w:right w:w="85" w:type="dxa"/>
            </w:tcMar>
            <w:vAlign w:val="center"/>
          </w:tcPr>
          <w:p w14:paraId="00EE53C5">
            <w:pPr>
              <w:widowControl/>
              <w:jc w:val="both"/>
              <w:rPr>
                <w:rFonts w:hint="eastAsia"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3</w:t>
            </w:r>
          </w:p>
        </w:tc>
        <w:tc>
          <w:tcPr>
            <w:tcW w:w="632" w:type="dxa"/>
            <w:shd w:val="clear" w:color="auto" w:fill="auto"/>
            <w:tcMar>
              <w:top w:w="57" w:type="dxa"/>
              <w:left w:w="85" w:type="dxa"/>
              <w:bottom w:w="57" w:type="dxa"/>
              <w:right w:w="85" w:type="dxa"/>
            </w:tcMar>
            <w:vAlign w:val="center"/>
          </w:tcPr>
          <w:p w14:paraId="018D2E3E">
            <w:pPr>
              <w:widowControl/>
              <w:jc w:val="both"/>
              <w:rPr>
                <w:rFonts w:hint="eastAsia" w:ascii="华文宋体" w:hAnsi="华文宋体" w:eastAsia="华文宋体" w:cs="华文宋体"/>
                <w:kern w:val="0"/>
                <w:sz w:val="21"/>
                <w:szCs w:val="21"/>
                <w:highlight w:val="none"/>
                <w:lang w:val="en-US" w:eastAsia="zh-CN"/>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4A6B485A">
            <w:pPr>
              <w:widowControl/>
              <w:jc w:val="both"/>
              <w:rPr>
                <w:rFonts w:hint="eastAsia"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3</w:t>
            </w:r>
          </w:p>
        </w:tc>
      </w:tr>
      <w:tr w14:paraId="65D4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20" w:type="dxa"/>
            <w:tcBorders>
              <w:left w:val="single" w:color="auto" w:sz="12" w:space="0"/>
            </w:tcBorders>
            <w:shd w:val="clear" w:color="auto" w:fill="auto"/>
            <w:tcMar>
              <w:top w:w="57" w:type="dxa"/>
              <w:left w:w="85" w:type="dxa"/>
              <w:bottom w:w="57" w:type="dxa"/>
              <w:right w:w="85" w:type="dxa"/>
            </w:tcMar>
            <w:vAlign w:val="center"/>
          </w:tcPr>
          <w:p w14:paraId="4636CC91">
            <w:pPr>
              <w:widowControl/>
              <w:numPr>
                <w:ilvl w:val="0"/>
                <w:numId w:val="3"/>
              </w:numPr>
              <w:ind w:left="425" w:leftChars="0" w:hanging="425" w:firstLineChars="0"/>
              <w:jc w:val="both"/>
              <w:rPr>
                <w:rFonts w:hint="default" w:ascii="华文宋体" w:hAnsi="华文宋体" w:eastAsia="华文宋体" w:cs="华文宋体"/>
                <w:sz w:val="21"/>
                <w:szCs w:val="21"/>
                <w:highlight w:val="none"/>
                <w:lang w:val="en-US" w:eastAsia="zh-CN" w:bidi="ar-SA"/>
              </w:rPr>
            </w:pPr>
            <w:r>
              <w:rPr>
                <w:rFonts w:hint="default" w:ascii="华文宋体" w:hAnsi="华文宋体" w:eastAsia="华文宋体" w:cs="华文宋体"/>
                <w:kern w:val="0"/>
                <w:sz w:val="21"/>
                <w:szCs w:val="21"/>
                <w:highlight w:val="none"/>
                <w:lang w:val="en-US" w:eastAsia="zh-CN"/>
              </w:rPr>
              <w:t>雅思阅读</w:t>
            </w:r>
            <w:r>
              <w:rPr>
                <w:rFonts w:hint="eastAsia" w:ascii="华文宋体" w:hAnsi="华文宋体" w:eastAsia="华文宋体" w:cs="华文宋体"/>
                <w:sz w:val="21"/>
                <w:szCs w:val="21"/>
                <w:highlight w:val="none"/>
                <w:lang w:val="en-US" w:eastAsia="zh-CN"/>
              </w:rPr>
              <w:t>UNIT 6 Animals &amp;Nature</w:t>
            </w:r>
          </w:p>
        </w:tc>
        <w:tc>
          <w:tcPr>
            <w:tcW w:w="2200" w:type="dxa"/>
            <w:shd w:val="clear" w:color="auto" w:fill="auto"/>
            <w:tcMar>
              <w:top w:w="57" w:type="dxa"/>
              <w:left w:w="85" w:type="dxa"/>
              <w:bottom w:w="57" w:type="dxa"/>
              <w:right w:w="85" w:type="dxa"/>
            </w:tcMar>
            <w:vAlign w:val="center"/>
          </w:tcPr>
          <w:p w14:paraId="52B635F9">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讲述教学法、讨论教学法、PBL</w:t>
            </w:r>
          </w:p>
        </w:tc>
        <w:tc>
          <w:tcPr>
            <w:tcW w:w="1769" w:type="dxa"/>
            <w:shd w:val="clear" w:color="auto" w:fill="auto"/>
            <w:tcMar>
              <w:top w:w="57" w:type="dxa"/>
              <w:left w:w="85" w:type="dxa"/>
              <w:bottom w:w="57" w:type="dxa"/>
              <w:right w:w="85" w:type="dxa"/>
            </w:tcMar>
            <w:vAlign w:val="center"/>
          </w:tcPr>
          <w:p w14:paraId="7E9519D1">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综合评价</w:t>
            </w:r>
          </w:p>
        </w:tc>
        <w:tc>
          <w:tcPr>
            <w:tcW w:w="681" w:type="dxa"/>
            <w:shd w:val="clear" w:color="auto" w:fill="auto"/>
            <w:tcMar>
              <w:top w:w="57" w:type="dxa"/>
              <w:left w:w="85" w:type="dxa"/>
              <w:bottom w:w="57" w:type="dxa"/>
              <w:right w:w="85" w:type="dxa"/>
            </w:tcMar>
            <w:vAlign w:val="center"/>
          </w:tcPr>
          <w:p w14:paraId="4BA80CE4">
            <w:pPr>
              <w:widowControl/>
              <w:jc w:val="both"/>
              <w:rPr>
                <w:rFonts w:hint="eastAsia"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3</w:t>
            </w:r>
          </w:p>
        </w:tc>
        <w:tc>
          <w:tcPr>
            <w:tcW w:w="632" w:type="dxa"/>
            <w:shd w:val="clear" w:color="auto" w:fill="auto"/>
            <w:tcMar>
              <w:top w:w="57" w:type="dxa"/>
              <w:left w:w="85" w:type="dxa"/>
              <w:bottom w:w="57" w:type="dxa"/>
              <w:right w:w="85" w:type="dxa"/>
            </w:tcMar>
            <w:vAlign w:val="center"/>
          </w:tcPr>
          <w:p w14:paraId="6CAB7AD5">
            <w:pPr>
              <w:widowControl/>
              <w:jc w:val="both"/>
              <w:rPr>
                <w:rFonts w:hint="eastAsia" w:ascii="华文宋体" w:hAnsi="华文宋体" w:eastAsia="华文宋体" w:cs="华文宋体"/>
                <w:kern w:val="0"/>
                <w:sz w:val="21"/>
                <w:szCs w:val="21"/>
                <w:highlight w:val="none"/>
                <w:lang w:val="en-US" w:eastAsia="zh-CN"/>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45EB0E33">
            <w:pPr>
              <w:widowControl/>
              <w:jc w:val="both"/>
              <w:rPr>
                <w:rFonts w:hint="eastAsia"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3</w:t>
            </w:r>
          </w:p>
        </w:tc>
      </w:tr>
      <w:tr w14:paraId="0A28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20" w:type="dxa"/>
            <w:tcBorders>
              <w:left w:val="single" w:color="auto" w:sz="12" w:space="0"/>
            </w:tcBorders>
            <w:shd w:val="clear" w:color="auto" w:fill="auto"/>
            <w:tcMar>
              <w:top w:w="57" w:type="dxa"/>
              <w:left w:w="85" w:type="dxa"/>
              <w:bottom w:w="57" w:type="dxa"/>
              <w:right w:w="85" w:type="dxa"/>
            </w:tcMar>
            <w:vAlign w:val="center"/>
          </w:tcPr>
          <w:p w14:paraId="0FB66473">
            <w:pPr>
              <w:widowControl/>
              <w:numPr>
                <w:ilvl w:val="0"/>
                <w:numId w:val="3"/>
              </w:numPr>
              <w:ind w:left="425" w:leftChars="0" w:hanging="425" w:firstLineChars="0"/>
              <w:jc w:val="both"/>
              <w:rPr>
                <w:rFonts w:hint="eastAsia"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rPr>
              <w:t>雅思写作</w:t>
            </w:r>
            <w:r>
              <w:rPr>
                <w:rFonts w:hint="eastAsia" w:ascii="华文宋体" w:hAnsi="华文宋体" w:eastAsia="华文宋体" w:cs="华文宋体"/>
                <w:sz w:val="21"/>
                <w:szCs w:val="21"/>
                <w:highlight w:val="none"/>
                <w:lang w:val="en-US" w:eastAsia="zh-CN"/>
              </w:rPr>
              <w:t>UNIT 6</w:t>
            </w:r>
          </w:p>
          <w:p w14:paraId="3B4FBD19">
            <w:pPr>
              <w:widowControl/>
              <w:numPr>
                <w:ilvl w:val="0"/>
                <w:numId w:val="0"/>
              </w:numPr>
              <w:ind w:leftChars="0" w:firstLine="420" w:firstLineChars="200"/>
              <w:jc w:val="both"/>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sz w:val="21"/>
                <w:szCs w:val="21"/>
                <w:highlight w:val="none"/>
                <w:lang w:val="en-US" w:eastAsia="zh-CN"/>
              </w:rPr>
              <w:t>Animals &amp;Nature</w:t>
            </w:r>
          </w:p>
        </w:tc>
        <w:tc>
          <w:tcPr>
            <w:tcW w:w="2200" w:type="dxa"/>
            <w:shd w:val="clear" w:color="auto" w:fill="auto"/>
            <w:tcMar>
              <w:top w:w="57" w:type="dxa"/>
              <w:left w:w="85" w:type="dxa"/>
              <w:bottom w:w="57" w:type="dxa"/>
              <w:right w:w="85" w:type="dxa"/>
            </w:tcMar>
            <w:vAlign w:val="center"/>
          </w:tcPr>
          <w:p w14:paraId="47B04607">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讲述教学法、讨论教学法、PBL</w:t>
            </w:r>
          </w:p>
        </w:tc>
        <w:tc>
          <w:tcPr>
            <w:tcW w:w="1769" w:type="dxa"/>
            <w:shd w:val="clear" w:color="auto" w:fill="auto"/>
            <w:tcMar>
              <w:top w:w="57" w:type="dxa"/>
              <w:left w:w="85" w:type="dxa"/>
              <w:bottom w:w="57" w:type="dxa"/>
              <w:right w:w="85" w:type="dxa"/>
            </w:tcMar>
            <w:vAlign w:val="center"/>
          </w:tcPr>
          <w:p w14:paraId="074B3678">
            <w:pPr>
              <w:widowControl/>
              <w:jc w:val="both"/>
              <w:rPr>
                <w:rFonts w:hint="eastAsia"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综合评价</w:t>
            </w:r>
          </w:p>
        </w:tc>
        <w:tc>
          <w:tcPr>
            <w:tcW w:w="681" w:type="dxa"/>
            <w:shd w:val="clear" w:color="auto" w:fill="auto"/>
            <w:tcMar>
              <w:top w:w="57" w:type="dxa"/>
              <w:left w:w="85" w:type="dxa"/>
              <w:bottom w:w="57" w:type="dxa"/>
              <w:right w:w="85" w:type="dxa"/>
            </w:tcMar>
            <w:vAlign w:val="center"/>
          </w:tcPr>
          <w:p w14:paraId="5323A9F5">
            <w:pPr>
              <w:widowControl/>
              <w:jc w:val="both"/>
              <w:rPr>
                <w:rFonts w:hint="eastAsia"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3</w:t>
            </w:r>
          </w:p>
        </w:tc>
        <w:tc>
          <w:tcPr>
            <w:tcW w:w="632" w:type="dxa"/>
            <w:shd w:val="clear" w:color="auto" w:fill="auto"/>
            <w:tcMar>
              <w:top w:w="57" w:type="dxa"/>
              <w:left w:w="85" w:type="dxa"/>
              <w:bottom w:w="57" w:type="dxa"/>
              <w:right w:w="85" w:type="dxa"/>
            </w:tcMar>
            <w:vAlign w:val="center"/>
          </w:tcPr>
          <w:p w14:paraId="136FBBBC">
            <w:pPr>
              <w:widowControl/>
              <w:jc w:val="both"/>
              <w:rPr>
                <w:rFonts w:hint="eastAsia" w:ascii="华文宋体" w:hAnsi="华文宋体" w:eastAsia="华文宋体" w:cs="华文宋体"/>
                <w:kern w:val="0"/>
                <w:sz w:val="21"/>
                <w:szCs w:val="21"/>
                <w:highlight w:val="none"/>
                <w:lang w:val="en-US" w:eastAsia="zh-CN"/>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415B7E13">
            <w:pPr>
              <w:widowControl/>
              <w:jc w:val="both"/>
              <w:rPr>
                <w:rFonts w:hint="eastAsia"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3</w:t>
            </w:r>
          </w:p>
        </w:tc>
      </w:tr>
      <w:tr w14:paraId="6607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20" w:type="dxa"/>
            <w:tcBorders>
              <w:left w:val="single" w:color="auto" w:sz="12" w:space="0"/>
            </w:tcBorders>
            <w:shd w:val="clear" w:color="auto" w:fill="auto"/>
            <w:tcMar>
              <w:top w:w="57" w:type="dxa"/>
              <w:left w:w="85" w:type="dxa"/>
              <w:bottom w:w="57" w:type="dxa"/>
              <w:right w:w="85" w:type="dxa"/>
            </w:tcMar>
            <w:vAlign w:val="center"/>
          </w:tcPr>
          <w:p w14:paraId="2B327EB7">
            <w:pPr>
              <w:widowControl/>
              <w:numPr>
                <w:ilvl w:val="0"/>
                <w:numId w:val="3"/>
              </w:numPr>
              <w:ind w:left="425" w:leftChars="0" w:hanging="425" w:firstLineChars="0"/>
              <w:jc w:val="both"/>
              <w:rPr>
                <w:rFonts w:hint="default" w:ascii="华文宋体" w:hAnsi="华文宋体" w:eastAsia="华文宋体" w:cs="华文宋体"/>
                <w:sz w:val="21"/>
                <w:szCs w:val="21"/>
                <w:highlight w:val="none"/>
                <w:lang w:val="en-US" w:eastAsia="zh-CN" w:bidi="ar-SA"/>
              </w:rPr>
            </w:pPr>
            <w:r>
              <w:rPr>
                <w:rFonts w:hint="eastAsia" w:ascii="华文宋体" w:hAnsi="华文宋体" w:eastAsia="华文宋体" w:cs="华文宋体"/>
                <w:b w:val="0"/>
                <w:bCs w:val="0"/>
                <w:sz w:val="21"/>
                <w:szCs w:val="21"/>
                <w:highlight w:val="none"/>
                <w:lang w:val="en-US" w:eastAsia="zh-Hans"/>
              </w:rPr>
              <w:t>雅思</w:t>
            </w:r>
            <w:r>
              <w:rPr>
                <w:rFonts w:hint="eastAsia" w:ascii="华文宋体" w:hAnsi="华文宋体" w:eastAsia="华文宋体" w:cs="华文宋体"/>
                <w:b w:val="0"/>
                <w:bCs w:val="0"/>
                <w:sz w:val="21"/>
                <w:szCs w:val="21"/>
                <w:highlight w:val="none"/>
                <w:lang w:val="en-US" w:eastAsia="zh-CN"/>
              </w:rPr>
              <w:t>阅读与写作复习</w:t>
            </w:r>
            <w:r>
              <w:rPr>
                <w:rFonts w:hint="eastAsia" w:ascii="华文宋体" w:hAnsi="华文宋体" w:eastAsia="华文宋体" w:cs="华文宋体"/>
                <w:b w:val="0"/>
                <w:bCs w:val="0"/>
                <w:sz w:val="21"/>
                <w:szCs w:val="21"/>
                <w:highlight w:val="none"/>
                <w:lang w:val="en-US" w:eastAsia="zh-Hans"/>
              </w:rPr>
              <w:t>Review</w:t>
            </w:r>
            <w:r>
              <w:rPr>
                <w:rFonts w:hint="eastAsia" w:ascii="华文宋体" w:hAnsi="华文宋体" w:eastAsia="华文宋体" w:cs="华文宋体"/>
                <w:b w:val="0"/>
                <w:bCs w:val="0"/>
                <w:sz w:val="21"/>
                <w:szCs w:val="21"/>
                <w:highlight w:val="none"/>
                <w:lang w:eastAsia="zh-Hans"/>
              </w:rPr>
              <w:t xml:space="preserve"> </w:t>
            </w:r>
            <w:r>
              <w:rPr>
                <w:rFonts w:hint="eastAsia" w:ascii="华文宋体" w:hAnsi="华文宋体" w:eastAsia="华文宋体" w:cs="华文宋体"/>
                <w:b w:val="0"/>
                <w:bCs w:val="0"/>
                <w:sz w:val="21"/>
                <w:szCs w:val="21"/>
                <w:highlight w:val="none"/>
                <w:lang w:val="en-US" w:eastAsia="zh-Hans"/>
              </w:rPr>
              <w:t>on</w:t>
            </w:r>
            <w:r>
              <w:rPr>
                <w:rFonts w:hint="eastAsia" w:ascii="华文宋体" w:hAnsi="华文宋体" w:eastAsia="华文宋体" w:cs="华文宋体"/>
                <w:b w:val="0"/>
                <w:bCs w:val="0"/>
                <w:sz w:val="21"/>
                <w:szCs w:val="21"/>
                <w:highlight w:val="none"/>
                <w:lang w:eastAsia="zh-Hans"/>
              </w:rPr>
              <w:t xml:space="preserve"> </w:t>
            </w:r>
            <w:r>
              <w:rPr>
                <w:rFonts w:hint="eastAsia" w:ascii="华文宋体" w:hAnsi="华文宋体" w:eastAsia="华文宋体" w:cs="华文宋体"/>
                <w:b w:val="0"/>
                <w:bCs w:val="0"/>
                <w:sz w:val="21"/>
                <w:szCs w:val="21"/>
                <w:highlight w:val="none"/>
                <w:lang w:val="en-US" w:eastAsia="zh-CN"/>
              </w:rPr>
              <w:t>Reading and Writing</w:t>
            </w:r>
          </w:p>
        </w:tc>
        <w:tc>
          <w:tcPr>
            <w:tcW w:w="2200" w:type="dxa"/>
            <w:shd w:val="clear" w:color="auto" w:fill="auto"/>
            <w:tcMar>
              <w:top w:w="57" w:type="dxa"/>
              <w:left w:w="85" w:type="dxa"/>
              <w:bottom w:w="57" w:type="dxa"/>
              <w:right w:w="85" w:type="dxa"/>
            </w:tcMar>
            <w:vAlign w:val="center"/>
          </w:tcPr>
          <w:p w14:paraId="043CEE9B">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讲述教学法、讨论教学法、PBL</w:t>
            </w:r>
          </w:p>
        </w:tc>
        <w:tc>
          <w:tcPr>
            <w:tcW w:w="1769" w:type="dxa"/>
            <w:shd w:val="clear" w:color="auto" w:fill="auto"/>
            <w:tcMar>
              <w:top w:w="57" w:type="dxa"/>
              <w:left w:w="85" w:type="dxa"/>
              <w:bottom w:w="57" w:type="dxa"/>
              <w:right w:w="85" w:type="dxa"/>
            </w:tcMar>
            <w:vAlign w:val="center"/>
          </w:tcPr>
          <w:p w14:paraId="3666E320">
            <w:pPr>
              <w:widowControl/>
              <w:jc w:val="both"/>
              <w:rPr>
                <w:rFonts w:hint="default" w:ascii="华文宋体" w:hAnsi="华文宋体" w:eastAsia="华文宋体" w:cs="华文宋体"/>
                <w:kern w:val="0"/>
                <w:sz w:val="21"/>
                <w:szCs w:val="21"/>
                <w:highlight w:val="none"/>
                <w:lang w:val="en-US" w:eastAsia="zh-CN"/>
              </w:rPr>
            </w:pPr>
            <w:r>
              <w:rPr>
                <w:rFonts w:hint="eastAsia" w:ascii="华文宋体" w:hAnsi="华文宋体" w:eastAsia="华文宋体" w:cs="华文宋体"/>
                <w:kern w:val="0"/>
                <w:sz w:val="21"/>
                <w:szCs w:val="21"/>
                <w:highlight w:val="none"/>
                <w:lang w:val="en-US" w:eastAsia="zh-CN"/>
              </w:rPr>
              <w:t>期末复习</w:t>
            </w:r>
          </w:p>
        </w:tc>
        <w:tc>
          <w:tcPr>
            <w:tcW w:w="681" w:type="dxa"/>
            <w:shd w:val="clear" w:color="auto" w:fill="auto"/>
            <w:tcMar>
              <w:top w:w="57" w:type="dxa"/>
              <w:left w:w="85" w:type="dxa"/>
              <w:bottom w:w="57" w:type="dxa"/>
              <w:right w:w="85" w:type="dxa"/>
            </w:tcMar>
            <w:vAlign w:val="center"/>
          </w:tcPr>
          <w:p w14:paraId="6745744F">
            <w:pPr>
              <w:widowControl/>
              <w:jc w:val="both"/>
              <w:rPr>
                <w:rFonts w:hint="eastAsia"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3</w:t>
            </w:r>
          </w:p>
        </w:tc>
        <w:tc>
          <w:tcPr>
            <w:tcW w:w="632" w:type="dxa"/>
            <w:shd w:val="clear" w:color="auto" w:fill="auto"/>
            <w:tcMar>
              <w:top w:w="57" w:type="dxa"/>
              <w:left w:w="85" w:type="dxa"/>
              <w:bottom w:w="57" w:type="dxa"/>
              <w:right w:w="85" w:type="dxa"/>
            </w:tcMar>
            <w:vAlign w:val="center"/>
          </w:tcPr>
          <w:p w14:paraId="00F95BC1">
            <w:pPr>
              <w:widowControl/>
              <w:jc w:val="both"/>
              <w:rPr>
                <w:rFonts w:hint="eastAsia" w:ascii="华文宋体" w:hAnsi="华文宋体" w:eastAsia="华文宋体" w:cs="华文宋体"/>
                <w:kern w:val="0"/>
                <w:sz w:val="21"/>
                <w:szCs w:val="21"/>
                <w:highlight w:val="none"/>
                <w:lang w:val="en-US" w:eastAsia="zh-CN"/>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6AFA5960">
            <w:pPr>
              <w:widowControl/>
              <w:jc w:val="both"/>
              <w:rPr>
                <w:rFonts w:hint="eastAsia" w:ascii="华文宋体" w:hAnsi="华文宋体" w:eastAsia="华文宋体" w:cs="华文宋体"/>
                <w:kern w:val="0"/>
                <w:sz w:val="21"/>
                <w:szCs w:val="21"/>
                <w:highlight w:val="none"/>
                <w:lang w:val="en-US" w:eastAsia="zh-CN"/>
              </w:rPr>
            </w:pPr>
            <w:r>
              <w:rPr>
                <w:rFonts w:hint="default" w:ascii="华文宋体" w:hAnsi="华文宋体" w:eastAsia="华文宋体" w:cs="华文宋体"/>
                <w:kern w:val="0"/>
                <w:sz w:val="21"/>
                <w:szCs w:val="21"/>
                <w:highlight w:val="none"/>
                <w:lang w:val="en-US" w:eastAsia="zh-CN"/>
              </w:rPr>
              <w:t>3</w:t>
            </w:r>
          </w:p>
        </w:tc>
      </w:tr>
      <w:tr w14:paraId="4788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489" w:type="dxa"/>
            <w:gridSpan w:val="3"/>
            <w:tcBorders>
              <w:left w:val="single" w:color="auto" w:sz="12" w:space="0"/>
              <w:bottom w:val="single" w:color="auto" w:sz="12" w:space="0"/>
            </w:tcBorders>
            <w:tcMar>
              <w:top w:w="57" w:type="dxa"/>
              <w:left w:w="85" w:type="dxa"/>
              <w:bottom w:w="57" w:type="dxa"/>
              <w:right w:w="85" w:type="dxa"/>
            </w:tcMar>
            <w:vAlign w:val="center"/>
          </w:tcPr>
          <w:p w14:paraId="032F9816">
            <w:pPr>
              <w:pStyle w:val="19"/>
              <w:widowControl w:val="0"/>
              <w:rPr>
                <w:sz w:val="21"/>
                <w:szCs w:val="21"/>
              </w:rPr>
            </w:pPr>
            <w:r>
              <w:rPr>
                <w:rFonts w:hint="eastAsia"/>
                <w:sz w:val="21"/>
                <w:szCs w:val="21"/>
              </w:rPr>
              <w:t>合计</w:t>
            </w:r>
          </w:p>
        </w:tc>
        <w:tc>
          <w:tcPr>
            <w:tcW w:w="681" w:type="dxa"/>
            <w:tcBorders>
              <w:bottom w:val="single" w:color="auto" w:sz="12" w:space="0"/>
            </w:tcBorders>
            <w:tcMar>
              <w:top w:w="57" w:type="dxa"/>
              <w:left w:w="85" w:type="dxa"/>
              <w:bottom w:w="57" w:type="dxa"/>
              <w:right w:w="85" w:type="dxa"/>
            </w:tcMar>
            <w:vAlign w:val="center"/>
          </w:tcPr>
          <w:p w14:paraId="227A8BE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32" w:type="dxa"/>
            <w:tcBorders>
              <w:bottom w:val="single" w:color="auto" w:sz="12" w:space="0"/>
            </w:tcBorders>
            <w:tcMar>
              <w:top w:w="57" w:type="dxa"/>
              <w:left w:w="85" w:type="dxa"/>
              <w:bottom w:w="57" w:type="dxa"/>
              <w:right w:w="85" w:type="dxa"/>
            </w:tcMar>
            <w:vAlign w:val="center"/>
          </w:tcPr>
          <w:p w14:paraId="6490CFE0">
            <w:pPr>
              <w:widowControl w:val="0"/>
              <w:snapToGrid w:val="0"/>
              <w:jc w:val="center"/>
              <w:rPr>
                <w:rFonts w:ascii="Times New Roman" w:hAnsi="Times New Roman"/>
                <w:bCs/>
                <w:sz w:val="21"/>
                <w:szCs w:val="21"/>
              </w:rPr>
            </w:pPr>
          </w:p>
        </w:tc>
        <w:tc>
          <w:tcPr>
            <w:tcW w:w="674" w:type="dxa"/>
            <w:tcBorders>
              <w:bottom w:val="single" w:color="auto" w:sz="12" w:space="0"/>
              <w:right w:val="single" w:color="auto" w:sz="12" w:space="0"/>
            </w:tcBorders>
            <w:tcMar>
              <w:top w:w="57" w:type="dxa"/>
              <w:left w:w="85" w:type="dxa"/>
              <w:bottom w:w="57" w:type="dxa"/>
              <w:right w:w="85" w:type="dxa"/>
            </w:tcMar>
            <w:vAlign w:val="center"/>
          </w:tcPr>
          <w:p w14:paraId="42D9090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21D0CACF">
      <w:pPr>
        <w:pStyle w:val="22"/>
        <w:spacing w:before="326" w:beforeLines="100" w:line="360" w:lineRule="auto"/>
        <w:rPr>
          <w:rFonts w:ascii="黑体" w:hAnsi="宋体"/>
        </w:rPr>
      </w:pPr>
      <w:bookmarkStart w:id="0" w:name="OLE_LINK1"/>
      <w:bookmarkStart w:id="1" w:name="OLE_LINK2"/>
      <w:r>
        <w:rPr>
          <w:rFonts w:hint="eastAsia" w:ascii="黑体" w:hAnsi="宋体"/>
          <w:lang w:val="en-US" w:eastAsia="zh-CN"/>
        </w:rPr>
        <w:t>四、</w:t>
      </w:r>
      <w:r>
        <w:rPr>
          <w:rFonts w:hint="eastAsia" w:ascii="黑体" w:hAnsi="宋体"/>
        </w:rPr>
        <w:t>课程思政教学设计</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85" w:type="dxa"/>
          <w:bottom w:w="28" w:type="dxa"/>
          <w:right w:w="85" w:type="dxa"/>
        </w:tblCellMar>
      </w:tblPr>
      <w:tblGrid>
        <w:gridCol w:w="8476"/>
      </w:tblGrid>
      <w:tr w14:paraId="0AD21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6986" w:hRule="atLeast"/>
        </w:trPr>
        <w:tc>
          <w:tcPr>
            <w:tcW w:w="8476" w:type="dxa"/>
            <w:tcMar>
              <w:top w:w="57" w:type="dxa"/>
              <w:left w:w="85" w:type="dxa"/>
              <w:bottom w:w="57" w:type="dxa"/>
              <w:right w:w="85" w:type="dxa"/>
            </w:tcMar>
            <w:vAlign w:val="center"/>
          </w:tcPr>
          <w:p w14:paraId="19201E0D">
            <w:pPr>
              <w:pStyle w:val="21"/>
              <w:widowControl w:val="0"/>
              <w:tabs>
                <w:tab w:val="left" w:pos="351"/>
              </w:tabs>
              <w:ind w:firstLine="0" w:firstLineChars="0"/>
              <w:jc w:val="left"/>
              <w:rPr>
                <w:rFonts w:hint="eastAsia" w:ascii="Times New Roman" w:hAnsi="Times New Roman"/>
                <w:sz w:val="21"/>
                <w:szCs w:val="21"/>
              </w:rPr>
            </w:pPr>
            <w:r>
              <w:rPr>
                <w:rFonts w:hint="eastAsia" w:ascii="Times New Roman" w:hAnsi="Times New Roman"/>
                <w:sz w:val="21"/>
                <w:szCs w:val="21"/>
              </w:rPr>
              <w:t>一、雅思阅读中的课程思政设计</w:t>
            </w:r>
          </w:p>
          <w:p w14:paraId="1E176AA5">
            <w:pPr>
              <w:pStyle w:val="21"/>
              <w:widowControl w:val="0"/>
              <w:tabs>
                <w:tab w:val="left" w:pos="351"/>
              </w:tabs>
              <w:ind w:firstLine="0" w:firstLineChars="0"/>
              <w:jc w:val="left"/>
              <w:rPr>
                <w:rFonts w:hint="eastAsia" w:ascii="Times New Roman" w:hAnsi="Times New Roman"/>
                <w:sz w:val="21"/>
                <w:szCs w:val="21"/>
              </w:rPr>
            </w:pPr>
            <w:r>
              <w:rPr>
                <w:rFonts w:hint="eastAsia" w:ascii="Times New Roman" w:hAnsi="Times New Roman"/>
                <w:sz w:val="21"/>
                <w:szCs w:val="21"/>
              </w:rPr>
              <w:t>1.选材多样化</w:t>
            </w:r>
          </w:p>
          <w:p w14:paraId="20234301">
            <w:pPr>
              <w:pStyle w:val="21"/>
              <w:widowControl w:val="0"/>
              <w:tabs>
                <w:tab w:val="left" w:pos="351"/>
              </w:tabs>
              <w:ind w:firstLine="0" w:firstLineChars="0"/>
              <w:jc w:val="left"/>
              <w:rPr>
                <w:rFonts w:hint="eastAsia" w:ascii="Times New Roman" w:hAnsi="Times New Roman"/>
                <w:sz w:val="21"/>
                <w:szCs w:val="21"/>
              </w:rPr>
            </w:pPr>
            <w:r>
              <w:rPr>
                <w:rFonts w:hint="eastAsia" w:ascii="Times New Roman" w:hAnsi="Times New Roman"/>
                <w:sz w:val="21"/>
                <w:szCs w:val="21"/>
              </w:rPr>
              <w:t xml:space="preserve">    -国际视野与本土情怀：在选材时，既要有国际视野，介绍英语国家的文化、制度、价值观等，也要有本土情怀，展现中国的发展成就、社会进步和文化自信。</w:t>
            </w:r>
          </w:p>
          <w:p w14:paraId="156DC99E">
            <w:pPr>
              <w:pStyle w:val="21"/>
              <w:widowControl w:val="0"/>
              <w:tabs>
                <w:tab w:val="left" w:pos="351"/>
              </w:tabs>
              <w:ind w:firstLine="0" w:firstLineChars="0"/>
              <w:jc w:val="left"/>
              <w:rPr>
                <w:rFonts w:hint="eastAsia" w:ascii="Times New Roman" w:hAnsi="Times New Roman"/>
                <w:sz w:val="21"/>
                <w:szCs w:val="21"/>
              </w:rPr>
            </w:pPr>
            <w:r>
              <w:rPr>
                <w:rFonts w:hint="eastAsia" w:ascii="Times New Roman" w:hAnsi="Times New Roman"/>
                <w:sz w:val="21"/>
                <w:szCs w:val="21"/>
              </w:rPr>
              <w:t>2.任务设计</w:t>
            </w:r>
          </w:p>
          <w:p w14:paraId="6BCC28E7">
            <w:pPr>
              <w:pStyle w:val="21"/>
              <w:widowControl w:val="0"/>
              <w:tabs>
                <w:tab w:val="left" w:pos="351"/>
              </w:tabs>
              <w:ind w:firstLine="0" w:firstLineChars="0"/>
              <w:jc w:val="left"/>
              <w:rPr>
                <w:rFonts w:hint="eastAsia" w:ascii="Times New Roman" w:hAnsi="Times New Roman"/>
                <w:sz w:val="21"/>
                <w:szCs w:val="21"/>
              </w:rPr>
            </w:pPr>
            <w:r>
              <w:rPr>
                <w:rFonts w:hint="eastAsia" w:ascii="Times New Roman" w:hAnsi="Times New Roman"/>
                <w:sz w:val="21"/>
                <w:szCs w:val="21"/>
              </w:rPr>
              <w:t xml:space="preserve">   -批判性思维培养：通过设置对比分析类任务，如对比中西方文化、教育、科技等方面的异同，引导学生形成批判性思维，客观看待不同文化，增强文化自信。</w:t>
            </w:r>
          </w:p>
          <w:p w14:paraId="39E23EEA">
            <w:pPr>
              <w:pStyle w:val="21"/>
              <w:widowControl w:val="0"/>
              <w:numPr>
                <w:ilvl w:val="0"/>
                <w:numId w:val="0"/>
              </w:numPr>
              <w:tabs>
                <w:tab w:val="left" w:pos="351"/>
              </w:tabs>
              <w:ind w:leftChars="0"/>
              <w:jc w:val="left"/>
              <w:rPr>
                <w:rFonts w:hint="eastAsia" w:ascii="Times New Roman" w:hAnsi="Times New Roman"/>
                <w:sz w:val="21"/>
                <w:szCs w:val="21"/>
              </w:rPr>
            </w:pPr>
            <w:r>
              <w:rPr>
                <w:rFonts w:hint="eastAsia" w:ascii="Times New Roman" w:hAnsi="Times New Roman"/>
                <w:sz w:val="21"/>
                <w:szCs w:val="21"/>
                <w:lang w:val="en-US" w:eastAsia="zh-CN"/>
              </w:rPr>
              <w:t>3.</w:t>
            </w:r>
            <w:r>
              <w:rPr>
                <w:rFonts w:hint="eastAsia" w:ascii="Times New Roman" w:hAnsi="Times New Roman"/>
                <w:sz w:val="21"/>
                <w:szCs w:val="21"/>
              </w:rPr>
              <w:t>价值观引导</w:t>
            </w:r>
          </w:p>
          <w:p w14:paraId="58495218">
            <w:pPr>
              <w:pStyle w:val="21"/>
              <w:widowControl w:val="0"/>
              <w:tabs>
                <w:tab w:val="left" w:pos="351"/>
              </w:tabs>
              <w:ind w:firstLine="0" w:firstLineChars="0"/>
              <w:jc w:val="left"/>
              <w:rPr>
                <w:rFonts w:hint="eastAsia" w:ascii="Times New Roman" w:hAnsi="Times New Roman"/>
                <w:sz w:val="21"/>
                <w:szCs w:val="21"/>
              </w:rPr>
            </w:pPr>
            <w:r>
              <w:rPr>
                <w:rFonts w:hint="eastAsia" w:ascii="Times New Roman" w:hAnsi="Times New Roman"/>
                <w:sz w:val="21"/>
                <w:szCs w:val="21"/>
              </w:rPr>
              <w:t xml:space="preserve">    -社会责任感培养：通过阅读材料引导学生关注社会问题，如环境保护、教育公平、弱势群体等，培养学生的社会责任感和公民意识。</w:t>
            </w:r>
          </w:p>
          <w:p w14:paraId="3FF70898">
            <w:pPr>
              <w:pStyle w:val="21"/>
              <w:widowControl w:val="0"/>
              <w:tabs>
                <w:tab w:val="left" w:pos="351"/>
              </w:tabs>
              <w:ind w:firstLine="0" w:firstLineChars="0"/>
              <w:jc w:val="left"/>
              <w:rPr>
                <w:rFonts w:hint="eastAsia" w:ascii="Times New Roman" w:hAnsi="Times New Roman"/>
                <w:sz w:val="21"/>
                <w:szCs w:val="21"/>
              </w:rPr>
            </w:pPr>
            <w:r>
              <w:rPr>
                <w:rFonts w:hint="eastAsia" w:ascii="Times New Roman" w:hAnsi="Times New Roman"/>
                <w:sz w:val="21"/>
                <w:szCs w:val="21"/>
              </w:rPr>
              <w:t>二、雅思写作中的课程思政设计</w:t>
            </w:r>
          </w:p>
          <w:p w14:paraId="49E5ECDA">
            <w:pPr>
              <w:pStyle w:val="21"/>
              <w:widowControl w:val="0"/>
              <w:tabs>
                <w:tab w:val="left" w:pos="351"/>
              </w:tabs>
              <w:ind w:firstLine="0" w:firstLineChars="0"/>
              <w:jc w:val="left"/>
              <w:rPr>
                <w:rFonts w:hint="eastAsia" w:ascii="Times New Roman" w:hAnsi="Times New Roman"/>
                <w:sz w:val="21"/>
                <w:szCs w:val="21"/>
              </w:rPr>
            </w:pPr>
            <w:r>
              <w:rPr>
                <w:rFonts w:hint="eastAsia" w:ascii="Times New Roman" w:hAnsi="Times New Roman"/>
                <w:sz w:val="21"/>
                <w:szCs w:val="21"/>
              </w:rPr>
              <w:t>1. 话题选择</w:t>
            </w:r>
          </w:p>
          <w:p w14:paraId="50263DCD">
            <w:pPr>
              <w:pStyle w:val="21"/>
              <w:widowControl w:val="0"/>
              <w:tabs>
                <w:tab w:val="left" w:pos="351"/>
              </w:tabs>
              <w:ind w:firstLine="0" w:firstLineChars="0"/>
              <w:jc w:val="left"/>
              <w:rPr>
                <w:rFonts w:hint="eastAsia" w:ascii="Times New Roman" w:hAnsi="Times New Roman"/>
                <w:sz w:val="21"/>
                <w:szCs w:val="21"/>
              </w:rPr>
            </w:pPr>
            <w:r>
              <w:rPr>
                <w:rFonts w:hint="eastAsia" w:ascii="Times New Roman" w:hAnsi="Times New Roman"/>
                <w:sz w:val="21"/>
                <w:szCs w:val="21"/>
              </w:rPr>
              <w:t xml:space="preserve">    -个性化表达：鼓励学生结合自己的经历、观点和感受进行个性化表达，展现其独特的思考方式和价值观。</w:t>
            </w:r>
          </w:p>
          <w:p w14:paraId="0E0BDC16">
            <w:pPr>
              <w:pStyle w:val="21"/>
              <w:widowControl w:val="0"/>
              <w:tabs>
                <w:tab w:val="left" w:pos="351"/>
              </w:tabs>
              <w:ind w:firstLine="0" w:firstLineChars="0"/>
              <w:jc w:val="left"/>
              <w:rPr>
                <w:rFonts w:hint="eastAsia" w:ascii="Times New Roman" w:hAnsi="Times New Roman"/>
                <w:sz w:val="21"/>
                <w:szCs w:val="21"/>
              </w:rPr>
            </w:pPr>
            <w:r>
              <w:rPr>
                <w:rFonts w:hint="eastAsia" w:ascii="Times New Roman" w:hAnsi="Times New Roman"/>
                <w:sz w:val="21"/>
                <w:szCs w:val="21"/>
              </w:rPr>
              <w:t>2. 能力训练</w:t>
            </w:r>
          </w:p>
          <w:p w14:paraId="42C15254">
            <w:pPr>
              <w:pStyle w:val="21"/>
              <w:widowControl w:val="0"/>
              <w:tabs>
                <w:tab w:val="left" w:pos="351"/>
              </w:tabs>
              <w:ind w:firstLine="0" w:firstLineChars="0"/>
              <w:jc w:val="left"/>
              <w:rPr>
                <w:rFonts w:hint="eastAsia" w:ascii="Times New Roman" w:hAnsi="Times New Roman"/>
                <w:sz w:val="21"/>
                <w:szCs w:val="21"/>
              </w:rPr>
            </w:pPr>
            <w:r>
              <w:rPr>
                <w:rFonts w:hint="eastAsia" w:ascii="Times New Roman" w:hAnsi="Times New Roman"/>
                <w:sz w:val="21"/>
                <w:szCs w:val="21"/>
              </w:rPr>
              <w:t xml:space="preserve">    - 话题拓展能力：通过引导学生从不同角度、不同层面深入探讨话题，培养其话题拓展能力，使写作表达更加丰富多彩。</w:t>
            </w:r>
          </w:p>
          <w:p w14:paraId="6944937F">
            <w:pPr>
              <w:pStyle w:val="21"/>
              <w:widowControl w:val="0"/>
              <w:tabs>
                <w:tab w:val="left" w:pos="351"/>
              </w:tabs>
              <w:ind w:firstLine="0" w:firstLineChars="0"/>
              <w:jc w:val="left"/>
              <w:rPr>
                <w:rFonts w:hint="eastAsia" w:ascii="Times New Roman" w:hAnsi="Times New Roman"/>
                <w:sz w:val="21"/>
                <w:szCs w:val="21"/>
              </w:rPr>
            </w:pPr>
            <w:r>
              <w:rPr>
                <w:rFonts w:hint="eastAsia" w:ascii="Times New Roman" w:hAnsi="Times New Roman"/>
                <w:sz w:val="21"/>
                <w:szCs w:val="21"/>
              </w:rPr>
              <w:t>3. 价值观引导</w:t>
            </w:r>
          </w:p>
          <w:p w14:paraId="26121C02">
            <w:pPr>
              <w:pStyle w:val="21"/>
              <w:widowControl w:val="0"/>
              <w:tabs>
                <w:tab w:val="left" w:pos="351"/>
              </w:tabs>
              <w:ind w:firstLine="0" w:firstLineChars="0"/>
              <w:jc w:val="left"/>
              <w:rPr>
                <w:rFonts w:ascii="Times New Roman" w:hAnsi="Times New Roman"/>
                <w:sz w:val="21"/>
                <w:szCs w:val="21"/>
              </w:rPr>
            </w:pPr>
            <w:r>
              <w:rPr>
                <w:rFonts w:hint="eastAsia" w:ascii="Times New Roman" w:hAnsi="Times New Roman"/>
                <w:sz w:val="21"/>
                <w:szCs w:val="21"/>
              </w:rPr>
              <w:t xml:space="preserve">    -国际视野：在写作训练中融入国际视野，介绍英语国家的文化、教育、科技等方面的成就，引导学生客观看待不同文化，形成开放包容的心态。</w:t>
            </w:r>
          </w:p>
        </w:tc>
      </w:tr>
      <w:bookmarkEnd w:id="0"/>
      <w:bookmarkEnd w:id="1"/>
    </w:tbl>
    <w:p w14:paraId="627EFB48">
      <w:pPr>
        <w:pStyle w:val="22"/>
        <w:numPr>
          <w:ilvl w:val="0"/>
          <w:numId w:val="0"/>
        </w:numPr>
        <w:spacing w:before="326" w:beforeLines="100" w:line="360" w:lineRule="auto"/>
        <w:rPr>
          <w:rFonts w:hint="eastAsia" w:ascii="黑体" w:hAnsi="宋体"/>
          <w:lang w:val="en-US" w:eastAsia="zh-CN"/>
        </w:rPr>
      </w:pPr>
    </w:p>
    <w:p w14:paraId="447A9A07">
      <w:pPr>
        <w:pStyle w:val="22"/>
        <w:numPr>
          <w:ilvl w:val="0"/>
          <w:numId w:val="0"/>
        </w:numPr>
        <w:spacing w:before="326" w:beforeLines="100" w:line="360" w:lineRule="auto"/>
        <w:rPr>
          <w:rFonts w:ascii="黑体" w:hAnsi="宋体"/>
        </w:rPr>
      </w:pPr>
      <w:r>
        <w:rPr>
          <w:rFonts w:hint="eastAsia" w:ascii="黑体" w:hAnsi="宋体"/>
          <w:lang w:val="en-US" w:eastAsia="zh-CN"/>
        </w:rPr>
        <w:t>五、</w:t>
      </w:r>
      <w:r>
        <w:rPr>
          <w:rFonts w:hint="eastAsia" w:ascii="黑体" w:hAnsi="宋体"/>
        </w:rPr>
        <w:t>课程考核</w:t>
      </w:r>
      <w:bookmarkStart w:id="2" w:name="OLE_LINK3"/>
      <w:bookmarkStart w:id="3" w:name="OLE_LINK4"/>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108" w:type="dxa"/>
          <w:bottom w:w="0" w:type="dxa"/>
          <w:right w:w="108" w:type="dxa"/>
        </w:tblCellMar>
      </w:tblPr>
      <w:tblGrid>
        <w:gridCol w:w="733"/>
        <w:gridCol w:w="775"/>
        <w:gridCol w:w="1831"/>
        <w:gridCol w:w="880"/>
        <w:gridCol w:w="941"/>
        <w:gridCol w:w="941"/>
        <w:gridCol w:w="938"/>
        <w:gridCol w:w="3"/>
        <w:gridCol w:w="948"/>
        <w:gridCol w:w="486"/>
      </w:tblGrid>
      <w:tr w14:paraId="1A05A84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632" w:hRule="atLeast"/>
        </w:trPr>
        <w:tc>
          <w:tcPr>
            <w:tcW w:w="432" w:type="pct"/>
            <w:vMerge w:val="restart"/>
            <w:tcBorders>
              <w:tl2br w:val="nil"/>
              <w:tr2bl w:val="nil"/>
            </w:tcBorders>
            <w:tcMar>
              <w:top w:w="57" w:type="dxa"/>
              <w:left w:w="85" w:type="dxa"/>
              <w:bottom w:w="57" w:type="dxa"/>
              <w:right w:w="85" w:type="dxa"/>
            </w:tcMar>
            <w:vAlign w:val="center"/>
          </w:tcPr>
          <w:p w14:paraId="2F85514E">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457" w:type="pct"/>
            <w:vMerge w:val="restart"/>
            <w:tcBorders>
              <w:tl2br w:val="nil"/>
              <w:tr2bl w:val="nil"/>
            </w:tcBorders>
            <w:tcMar>
              <w:top w:w="57" w:type="dxa"/>
              <w:left w:w="85" w:type="dxa"/>
              <w:bottom w:w="57" w:type="dxa"/>
              <w:right w:w="85" w:type="dxa"/>
            </w:tcMar>
            <w:vAlign w:val="center"/>
          </w:tcPr>
          <w:p w14:paraId="1D335171">
            <w:pPr>
              <w:pStyle w:val="22"/>
              <w:widowControl w:val="0"/>
              <w:spacing w:line="240" w:lineRule="auto"/>
              <w:jc w:val="center"/>
              <w:rPr>
                <w:rFonts w:ascii="黑体" w:hAnsi="宋体"/>
              </w:rPr>
            </w:pPr>
            <w:r>
              <w:rPr>
                <w:rFonts w:hint="eastAsia" w:ascii="黑体" w:hAnsi="黑体"/>
                <w:bCs/>
                <w:sz w:val="21"/>
                <w:szCs w:val="21"/>
              </w:rPr>
              <w:t>占比</w:t>
            </w:r>
          </w:p>
        </w:tc>
        <w:tc>
          <w:tcPr>
            <w:tcW w:w="1080" w:type="pct"/>
            <w:vMerge w:val="restart"/>
            <w:tcBorders>
              <w:tl2br w:val="nil"/>
              <w:tr2bl w:val="nil"/>
            </w:tcBorders>
            <w:tcMar>
              <w:top w:w="57" w:type="dxa"/>
              <w:left w:w="85" w:type="dxa"/>
              <w:bottom w:w="57" w:type="dxa"/>
              <w:right w:w="85" w:type="dxa"/>
            </w:tcMar>
            <w:vAlign w:val="center"/>
          </w:tcPr>
          <w:p w14:paraId="37BC7A6E">
            <w:pPr>
              <w:pStyle w:val="22"/>
              <w:widowControl w:val="0"/>
              <w:jc w:val="center"/>
              <w:rPr>
                <w:rFonts w:ascii="黑体" w:hAnsi="黑体"/>
                <w:bCs/>
                <w:sz w:val="21"/>
                <w:szCs w:val="21"/>
              </w:rPr>
            </w:pPr>
            <w:r>
              <w:rPr>
                <w:rFonts w:hint="eastAsia" w:ascii="黑体" w:hAnsi="黑体"/>
                <w:bCs/>
                <w:sz w:val="21"/>
                <w:szCs w:val="21"/>
              </w:rPr>
              <w:t>考核方式</w:t>
            </w:r>
          </w:p>
        </w:tc>
        <w:tc>
          <w:tcPr>
            <w:tcW w:w="2743" w:type="pct"/>
            <w:gridSpan w:val="6"/>
            <w:tcBorders>
              <w:tl2br w:val="nil"/>
              <w:tr2bl w:val="nil"/>
            </w:tcBorders>
            <w:tcMar>
              <w:top w:w="57" w:type="dxa"/>
              <w:left w:w="85" w:type="dxa"/>
              <w:bottom w:w="57" w:type="dxa"/>
              <w:right w:w="85" w:type="dxa"/>
            </w:tcMar>
            <w:vAlign w:val="center"/>
          </w:tcPr>
          <w:p w14:paraId="062640A4">
            <w:pPr>
              <w:pStyle w:val="22"/>
              <w:widowControl w:val="0"/>
              <w:spacing w:line="240" w:lineRule="auto"/>
              <w:jc w:val="center"/>
              <w:rPr>
                <w:rFonts w:ascii="黑体" w:hAnsi="宋体"/>
              </w:rPr>
            </w:pPr>
            <w:r>
              <w:rPr>
                <w:rFonts w:hint="eastAsia" w:ascii="黑体" w:hAnsi="黑体"/>
                <w:bCs/>
                <w:sz w:val="21"/>
                <w:szCs w:val="21"/>
              </w:rPr>
              <w:t>课程目标</w:t>
            </w:r>
          </w:p>
        </w:tc>
        <w:tc>
          <w:tcPr>
            <w:tcW w:w="286" w:type="pct"/>
            <w:vMerge w:val="restart"/>
            <w:tcBorders>
              <w:tl2br w:val="nil"/>
              <w:tr2bl w:val="nil"/>
            </w:tcBorders>
            <w:tcMar>
              <w:top w:w="57" w:type="dxa"/>
              <w:left w:w="85" w:type="dxa"/>
              <w:bottom w:w="57" w:type="dxa"/>
              <w:right w:w="85" w:type="dxa"/>
            </w:tcMar>
            <w:vAlign w:val="center"/>
          </w:tcPr>
          <w:p w14:paraId="30D122F2">
            <w:pPr>
              <w:pStyle w:val="22"/>
              <w:widowControl w:val="0"/>
              <w:spacing w:line="240" w:lineRule="auto"/>
              <w:jc w:val="center"/>
              <w:rPr>
                <w:rFonts w:ascii="黑体" w:hAnsi="黑体"/>
                <w:bCs/>
                <w:sz w:val="21"/>
                <w:szCs w:val="21"/>
              </w:rPr>
            </w:pPr>
            <w:r>
              <w:rPr>
                <w:rFonts w:hint="eastAsia" w:ascii="黑体" w:hAnsi="黑体"/>
                <w:bCs/>
                <w:sz w:val="21"/>
                <w:szCs w:val="21"/>
              </w:rPr>
              <w:t>合计</w:t>
            </w:r>
          </w:p>
        </w:tc>
      </w:tr>
      <w:tr w14:paraId="1CC8F8C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32" w:type="pct"/>
            <w:vMerge w:val="continue"/>
            <w:tcBorders>
              <w:tl2br w:val="nil"/>
              <w:tr2bl w:val="nil"/>
            </w:tcBorders>
            <w:tcMar>
              <w:top w:w="57" w:type="dxa"/>
              <w:left w:w="85" w:type="dxa"/>
              <w:bottom w:w="57" w:type="dxa"/>
              <w:right w:w="85" w:type="dxa"/>
            </w:tcMar>
          </w:tcPr>
          <w:p w14:paraId="1B5531E5">
            <w:pPr>
              <w:widowControl w:val="0"/>
              <w:snapToGrid w:val="0"/>
              <w:jc w:val="center"/>
              <w:rPr>
                <w:rFonts w:ascii="黑体" w:hAnsi="黑体" w:eastAsia="黑体"/>
                <w:bCs/>
                <w:sz w:val="21"/>
                <w:szCs w:val="21"/>
              </w:rPr>
            </w:pPr>
          </w:p>
        </w:tc>
        <w:tc>
          <w:tcPr>
            <w:tcW w:w="457" w:type="pct"/>
            <w:vMerge w:val="continue"/>
            <w:tcBorders>
              <w:tl2br w:val="nil"/>
              <w:tr2bl w:val="nil"/>
            </w:tcBorders>
            <w:tcMar>
              <w:top w:w="57" w:type="dxa"/>
              <w:left w:w="85" w:type="dxa"/>
              <w:bottom w:w="57" w:type="dxa"/>
              <w:right w:w="85" w:type="dxa"/>
            </w:tcMar>
          </w:tcPr>
          <w:p w14:paraId="4AF1D129">
            <w:pPr>
              <w:pStyle w:val="22"/>
              <w:widowControl w:val="0"/>
              <w:jc w:val="both"/>
              <w:rPr>
                <w:rFonts w:ascii="黑体" w:hAnsi="黑体"/>
                <w:bCs/>
                <w:sz w:val="21"/>
                <w:szCs w:val="21"/>
              </w:rPr>
            </w:pPr>
          </w:p>
        </w:tc>
        <w:tc>
          <w:tcPr>
            <w:tcW w:w="1080" w:type="pct"/>
            <w:vMerge w:val="continue"/>
            <w:tcBorders>
              <w:tl2br w:val="nil"/>
              <w:tr2bl w:val="nil"/>
            </w:tcBorders>
            <w:tcMar>
              <w:top w:w="57" w:type="dxa"/>
              <w:left w:w="85" w:type="dxa"/>
              <w:bottom w:w="57" w:type="dxa"/>
              <w:right w:w="85" w:type="dxa"/>
            </w:tcMar>
          </w:tcPr>
          <w:p w14:paraId="53F08377">
            <w:pPr>
              <w:pStyle w:val="22"/>
              <w:widowControl w:val="0"/>
              <w:jc w:val="both"/>
              <w:rPr>
                <w:rFonts w:ascii="黑体" w:hAnsi="黑体"/>
                <w:bCs/>
                <w:sz w:val="21"/>
                <w:szCs w:val="21"/>
              </w:rPr>
            </w:pPr>
          </w:p>
        </w:tc>
        <w:tc>
          <w:tcPr>
            <w:tcW w:w="519" w:type="pct"/>
            <w:tcBorders>
              <w:tl2br w:val="nil"/>
              <w:tr2bl w:val="nil"/>
            </w:tcBorders>
            <w:tcMar>
              <w:top w:w="57" w:type="dxa"/>
              <w:left w:w="85" w:type="dxa"/>
              <w:bottom w:w="57" w:type="dxa"/>
              <w:right w:w="85" w:type="dxa"/>
            </w:tcMar>
            <w:vAlign w:val="center"/>
          </w:tcPr>
          <w:p w14:paraId="56803548">
            <w:pPr>
              <w:pStyle w:val="22"/>
              <w:widowControl w:val="0"/>
              <w:spacing w:line="240" w:lineRule="auto"/>
              <w:jc w:val="center"/>
              <w:rPr>
                <w:rFonts w:ascii="黑体" w:hAnsi="黑体"/>
                <w:bCs/>
                <w:sz w:val="21"/>
                <w:szCs w:val="21"/>
              </w:rPr>
            </w:pPr>
            <w:r>
              <w:rPr>
                <w:rFonts w:hint="eastAsia" w:ascii="黑体" w:hAnsi="黑体"/>
                <w:bCs/>
                <w:sz w:val="21"/>
                <w:szCs w:val="21"/>
              </w:rPr>
              <w:t>1</w:t>
            </w:r>
          </w:p>
        </w:tc>
        <w:tc>
          <w:tcPr>
            <w:tcW w:w="555" w:type="pct"/>
            <w:tcBorders>
              <w:tl2br w:val="nil"/>
              <w:tr2bl w:val="nil"/>
            </w:tcBorders>
            <w:tcMar>
              <w:top w:w="57" w:type="dxa"/>
              <w:left w:w="85" w:type="dxa"/>
              <w:bottom w:w="57" w:type="dxa"/>
              <w:right w:w="85" w:type="dxa"/>
            </w:tcMar>
            <w:vAlign w:val="center"/>
          </w:tcPr>
          <w:p w14:paraId="3D99902C">
            <w:pPr>
              <w:pStyle w:val="22"/>
              <w:widowControl w:val="0"/>
              <w:spacing w:line="240" w:lineRule="auto"/>
              <w:jc w:val="center"/>
              <w:rPr>
                <w:rFonts w:ascii="黑体" w:hAnsi="黑体"/>
                <w:bCs/>
                <w:sz w:val="21"/>
                <w:szCs w:val="21"/>
              </w:rPr>
            </w:pPr>
            <w:r>
              <w:rPr>
                <w:rFonts w:hint="eastAsia" w:ascii="黑体" w:hAnsi="黑体"/>
                <w:bCs/>
                <w:sz w:val="21"/>
                <w:szCs w:val="21"/>
              </w:rPr>
              <w:t>2</w:t>
            </w:r>
          </w:p>
        </w:tc>
        <w:tc>
          <w:tcPr>
            <w:tcW w:w="555" w:type="pct"/>
            <w:tcBorders>
              <w:tl2br w:val="nil"/>
              <w:tr2bl w:val="nil"/>
            </w:tcBorders>
            <w:tcMar>
              <w:top w:w="57" w:type="dxa"/>
              <w:left w:w="85" w:type="dxa"/>
              <w:bottom w:w="57" w:type="dxa"/>
              <w:right w:w="85" w:type="dxa"/>
            </w:tcMar>
            <w:vAlign w:val="center"/>
          </w:tcPr>
          <w:p w14:paraId="0CE55202">
            <w:pPr>
              <w:pStyle w:val="22"/>
              <w:widowControl w:val="0"/>
              <w:spacing w:line="240" w:lineRule="auto"/>
              <w:jc w:val="center"/>
              <w:rPr>
                <w:rFonts w:ascii="黑体" w:hAnsi="黑体"/>
                <w:bCs/>
                <w:sz w:val="21"/>
                <w:szCs w:val="21"/>
              </w:rPr>
            </w:pPr>
            <w:r>
              <w:rPr>
                <w:rFonts w:hint="eastAsia" w:ascii="黑体" w:hAnsi="黑体"/>
                <w:bCs/>
                <w:sz w:val="21"/>
                <w:szCs w:val="21"/>
              </w:rPr>
              <w:t>3</w:t>
            </w:r>
          </w:p>
        </w:tc>
        <w:tc>
          <w:tcPr>
            <w:tcW w:w="553" w:type="pct"/>
            <w:tcBorders>
              <w:tl2br w:val="nil"/>
              <w:tr2bl w:val="nil"/>
            </w:tcBorders>
            <w:tcMar>
              <w:top w:w="57" w:type="dxa"/>
              <w:left w:w="85" w:type="dxa"/>
              <w:bottom w:w="57" w:type="dxa"/>
              <w:right w:w="85" w:type="dxa"/>
            </w:tcMar>
            <w:vAlign w:val="center"/>
          </w:tcPr>
          <w:p w14:paraId="0879AB21">
            <w:pPr>
              <w:pStyle w:val="22"/>
              <w:widowControl w:val="0"/>
              <w:spacing w:line="240" w:lineRule="auto"/>
              <w:jc w:val="center"/>
              <w:rPr>
                <w:rFonts w:ascii="黑体" w:hAnsi="黑体"/>
                <w:bCs/>
                <w:sz w:val="21"/>
                <w:szCs w:val="21"/>
              </w:rPr>
            </w:pPr>
            <w:r>
              <w:rPr>
                <w:rFonts w:hint="eastAsia" w:ascii="黑体" w:hAnsi="黑体"/>
                <w:bCs/>
                <w:sz w:val="21"/>
                <w:szCs w:val="21"/>
              </w:rPr>
              <w:t>4</w:t>
            </w:r>
          </w:p>
        </w:tc>
        <w:tc>
          <w:tcPr>
            <w:tcW w:w="559" w:type="pct"/>
            <w:gridSpan w:val="2"/>
            <w:tcBorders>
              <w:tl2br w:val="nil"/>
              <w:tr2bl w:val="nil"/>
            </w:tcBorders>
            <w:tcMar>
              <w:top w:w="57" w:type="dxa"/>
              <w:left w:w="85" w:type="dxa"/>
              <w:bottom w:w="57" w:type="dxa"/>
              <w:right w:w="85" w:type="dxa"/>
            </w:tcMar>
            <w:vAlign w:val="center"/>
          </w:tcPr>
          <w:p w14:paraId="6471B8CA">
            <w:pPr>
              <w:pStyle w:val="22"/>
              <w:widowControl w:val="0"/>
              <w:spacing w:line="240" w:lineRule="auto"/>
              <w:jc w:val="center"/>
              <w:rPr>
                <w:rFonts w:ascii="黑体" w:hAnsi="黑体"/>
                <w:bCs/>
                <w:sz w:val="21"/>
                <w:szCs w:val="21"/>
              </w:rPr>
            </w:pPr>
            <w:r>
              <w:rPr>
                <w:rFonts w:hint="eastAsia" w:ascii="黑体" w:hAnsi="黑体"/>
                <w:bCs/>
                <w:sz w:val="21"/>
                <w:szCs w:val="21"/>
              </w:rPr>
              <w:t>5</w:t>
            </w:r>
          </w:p>
        </w:tc>
        <w:tc>
          <w:tcPr>
            <w:tcW w:w="286" w:type="pct"/>
            <w:vMerge w:val="continue"/>
            <w:tcBorders>
              <w:tl2br w:val="nil"/>
              <w:tr2bl w:val="nil"/>
            </w:tcBorders>
            <w:tcMar>
              <w:top w:w="57" w:type="dxa"/>
              <w:left w:w="85" w:type="dxa"/>
              <w:bottom w:w="57" w:type="dxa"/>
              <w:right w:w="85" w:type="dxa"/>
            </w:tcMar>
          </w:tcPr>
          <w:p w14:paraId="0E7FFC9C">
            <w:pPr>
              <w:pStyle w:val="22"/>
              <w:widowControl w:val="0"/>
              <w:spacing w:line="240" w:lineRule="auto"/>
              <w:jc w:val="center"/>
              <w:rPr>
                <w:rFonts w:ascii="黑体" w:hAnsi="黑体"/>
                <w:bCs/>
                <w:sz w:val="21"/>
                <w:szCs w:val="21"/>
              </w:rPr>
            </w:pPr>
          </w:p>
        </w:tc>
      </w:tr>
      <w:tr w14:paraId="0E21EC4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32" w:type="pct"/>
            <w:tcBorders>
              <w:tl2br w:val="nil"/>
              <w:tr2bl w:val="nil"/>
            </w:tcBorders>
            <w:tcMar>
              <w:top w:w="57" w:type="dxa"/>
              <w:left w:w="85" w:type="dxa"/>
              <w:bottom w:w="57" w:type="dxa"/>
              <w:right w:w="85" w:type="dxa"/>
            </w:tcMar>
            <w:vAlign w:val="center"/>
          </w:tcPr>
          <w:p w14:paraId="1FAEDBC4">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457" w:type="pct"/>
            <w:tcBorders>
              <w:tl2br w:val="nil"/>
              <w:tr2bl w:val="nil"/>
            </w:tcBorders>
            <w:tcMar>
              <w:top w:w="57" w:type="dxa"/>
              <w:left w:w="85" w:type="dxa"/>
              <w:bottom w:w="57" w:type="dxa"/>
              <w:right w:w="85" w:type="dxa"/>
            </w:tcMar>
            <w:vAlign w:val="center"/>
          </w:tcPr>
          <w:p w14:paraId="3689BCD4">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50%</w:t>
            </w:r>
          </w:p>
        </w:tc>
        <w:tc>
          <w:tcPr>
            <w:tcW w:w="1080" w:type="pct"/>
            <w:tcBorders>
              <w:tl2br w:val="nil"/>
              <w:tr2bl w:val="nil"/>
            </w:tcBorders>
            <w:tcMar>
              <w:top w:w="57" w:type="dxa"/>
              <w:left w:w="85" w:type="dxa"/>
              <w:bottom w:w="57" w:type="dxa"/>
              <w:right w:w="85" w:type="dxa"/>
            </w:tcMar>
            <w:vAlign w:val="center"/>
          </w:tcPr>
          <w:p w14:paraId="654058DB">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期末笔试</w:t>
            </w:r>
            <w:r>
              <w:rPr>
                <w:rFonts w:hint="default" w:asciiTheme="minorEastAsia" w:hAnsiTheme="minorEastAsia" w:eastAsiaTheme="minorEastAsia"/>
                <w:sz w:val="21"/>
                <w:szCs w:val="21"/>
                <w:lang w:val="en-US" w:eastAsia="zh-CN"/>
              </w:rPr>
              <w:t xml:space="preserve"> Final examination</w:t>
            </w:r>
          </w:p>
        </w:tc>
        <w:tc>
          <w:tcPr>
            <w:tcW w:w="519" w:type="pct"/>
            <w:tcBorders>
              <w:tl2br w:val="nil"/>
              <w:tr2bl w:val="nil"/>
            </w:tcBorders>
            <w:tcMar>
              <w:top w:w="57" w:type="dxa"/>
              <w:left w:w="85" w:type="dxa"/>
              <w:bottom w:w="57" w:type="dxa"/>
              <w:right w:w="85" w:type="dxa"/>
            </w:tcMar>
            <w:vAlign w:val="center"/>
          </w:tcPr>
          <w:p w14:paraId="53E7F29C">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w:t>
            </w:r>
          </w:p>
        </w:tc>
        <w:tc>
          <w:tcPr>
            <w:tcW w:w="555" w:type="pct"/>
            <w:tcBorders>
              <w:tl2br w:val="nil"/>
              <w:tr2bl w:val="nil"/>
            </w:tcBorders>
            <w:tcMar>
              <w:top w:w="57" w:type="dxa"/>
              <w:left w:w="85" w:type="dxa"/>
              <w:bottom w:w="57" w:type="dxa"/>
              <w:right w:w="85" w:type="dxa"/>
            </w:tcMar>
            <w:vAlign w:val="center"/>
          </w:tcPr>
          <w:p w14:paraId="5D86D9F0">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w:t>
            </w:r>
          </w:p>
        </w:tc>
        <w:tc>
          <w:tcPr>
            <w:tcW w:w="555" w:type="pct"/>
            <w:tcBorders>
              <w:tl2br w:val="nil"/>
              <w:tr2bl w:val="nil"/>
            </w:tcBorders>
            <w:tcMar>
              <w:top w:w="57" w:type="dxa"/>
              <w:left w:w="85" w:type="dxa"/>
              <w:bottom w:w="57" w:type="dxa"/>
              <w:right w:w="85" w:type="dxa"/>
            </w:tcMar>
            <w:vAlign w:val="center"/>
          </w:tcPr>
          <w:p w14:paraId="53F15091">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w:t>
            </w:r>
          </w:p>
        </w:tc>
        <w:tc>
          <w:tcPr>
            <w:tcW w:w="555" w:type="pct"/>
            <w:gridSpan w:val="2"/>
            <w:tcBorders>
              <w:tl2br w:val="nil"/>
              <w:tr2bl w:val="nil"/>
            </w:tcBorders>
            <w:tcMar>
              <w:top w:w="57" w:type="dxa"/>
              <w:left w:w="85" w:type="dxa"/>
              <w:bottom w:w="57" w:type="dxa"/>
              <w:right w:w="85" w:type="dxa"/>
            </w:tcMar>
            <w:vAlign w:val="center"/>
          </w:tcPr>
          <w:p w14:paraId="23627F17">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w:t>
            </w:r>
          </w:p>
        </w:tc>
        <w:tc>
          <w:tcPr>
            <w:tcW w:w="558" w:type="pct"/>
            <w:tcBorders>
              <w:tl2br w:val="nil"/>
              <w:tr2bl w:val="nil"/>
            </w:tcBorders>
            <w:tcMar>
              <w:top w:w="57" w:type="dxa"/>
              <w:left w:w="85" w:type="dxa"/>
              <w:bottom w:w="57" w:type="dxa"/>
              <w:right w:w="85" w:type="dxa"/>
            </w:tcMar>
            <w:vAlign w:val="center"/>
          </w:tcPr>
          <w:p w14:paraId="59AB25D0">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w:t>
            </w:r>
          </w:p>
        </w:tc>
        <w:tc>
          <w:tcPr>
            <w:tcW w:w="286" w:type="pct"/>
            <w:tcBorders>
              <w:tl2br w:val="nil"/>
              <w:tr2bl w:val="nil"/>
            </w:tcBorders>
            <w:tcMar>
              <w:top w:w="57" w:type="dxa"/>
              <w:left w:w="85" w:type="dxa"/>
              <w:bottom w:w="57" w:type="dxa"/>
              <w:right w:w="85" w:type="dxa"/>
            </w:tcMar>
            <w:vAlign w:val="center"/>
          </w:tcPr>
          <w:p w14:paraId="22FA8485">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100</w:t>
            </w:r>
          </w:p>
        </w:tc>
      </w:tr>
      <w:tr w14:paraId="5FF53226">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32" w:type="pct"/>
            <w:tcBorders>
              <w:tl2br w:val="nil"/>
              <w:tr2bl w:val="nil"/>
            </w:tcBorders>
            <w:tcMar>
              <w:top w:w="57" w:type="dxa"/>
              <w:left w:w="85" w:type="dxa"/>
              <w:bottom w:w="57" w:type="dxa"/>
              <w:right w:w="85" w:type="dxa"/>
            </w:tcMar>
            <w:vAlign w:val="center"/>
          </w:tcPr>
          <w:p w14:paraId="63E0CAB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457" w:type="pct"/>
            <w:tcBorders>
              <w:tl2br w:val="nil"/>
              <w:tr2bl w:val="nil"/>
            </w:tcBorders>
            <w:tcMar>
              <w:top w:w="57" w:type="dxa"/>
              <w:left w:w="85" w:type="dxa"/>
              <w:bottom w:w="57" w:type="dxa"/>
              <w:right w:w="85" w:type="dxa"/>
            </w:tcMar>
            <w:vAlign w:val="center"/>
          </w:tcPr>
          <w:p w14:paraId="1E28A8E5">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15%</w:t>
            </w:r>
          </w:p>
        </w:tc>
        <w:tc>
          <w:tcPr>
            <w:tcW w:w="1080" w:type="pct"/>
            <w:tcBorders>
              <w:tl2br w:val="nil"/>
              <w:tr2bl w:val="nil"/>
            </w:tcBorders>
            <w:tcMar>
              <w:top w:w="57" w:type="dxa"/>
              <w:left w:w="85" w:type="dxa"/>
              <w:bottom w:w="57" w:type="dxa"/>
              <w:right w:w="85" w:type="dxa"/>
            </w:tcMar>
            <w:vAlign w:val="center"/>
          </w:tcPr>
          <w:p w14:paraId="03D782E6">
            <w:pPr>
              <w:pStyle w:val="2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 xml:space="preserve">过程性测试 1 </w:t>
            </w:r>
            <w:r>
              <w:rPr>
                <w:rFonts w:hint="default" w:asciiTheme="minorEastAsia" w:hAnsiTheme="minorEastAsia" w:eastAsiaTheme="minorEastAsia"/>
                <w:sz w:val="21"/>
                <w:szCs w:val="21"/>
                <w:lang w:val="en-US" w:eastAsia="zh-Hans"/>
              </w:rPr>
              <w:t>Periodical test</w:t>
            </w:r>
          </w:p>
        </w:tc>
        <w:tc>
          <w:tcPr>
            <w:tcW w:w="519" w:type="pct"/>
            <w:tcBorders>
              <w:tl2br w:val="nil"/>
              <w:tr2bl w:val="nil"/>
            </w:tcBorders>
            <w:tcMar>
              <w:top w:w="57" w:type="dxa"/>
              <w:left w:w="85" w:type="dxa"/>
              <w:bottom w:w="57" w:type="dxa"/>
              <w:right w:w="85" w:type="dxa"/>
            </w:tcMar>
            <w:vAlign w:val="center"/>
          </w:tcPr>
          <w:p w14:paraId="113225B0">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25</w:t>
            </w:r>
          </w:p>
        </w:tc>
        <w:tc>
          <w:tcPr>
            <w:tcW w:w="555" w:type="pct"/>
            <w:tcBorders>
              <w:tl2br w:val="nil"/>
              <w:tr2bl w:val="nil"/>
            </w:tcBorders>
            <w:tcMar>
              <w:top w:w="57" w:type="dxa"/>
              <w:left w:w="85" w:type="dxa"/>
              <w:bottom w:w="57" w:type="dxa"/>
              <w:right w:w="85" w:type="dxa"/>
            </w:tcMar>
            <w:vAlign w:val="center"/>
          </w:tcPr>
          <w:p w14:paraId="4E58A653">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25</w:t>
            </w:r>
          </w:p>
        </w:tc>
        <w:tc>
          <w:tcPr>
            <w:tcW w:w="555" w:type="pct"/>
            <w:tcBorders>
              <w:tl2br w:val="nil"/>
              <w:tr2bl w:val="nil"/>
            </w:tcBorders>
            <w:tcMar>
              <w:top w:w="57" w:type="dxa"/>
              <w:left w:w="85" w:type="dxa"/>
              <w:bottom w:w="57" w:type="dxa"/>
              <w:right w:w="85" w:type="dxa"/>
            </w:tcMar>
            <w:vAlign w:val="center"/>
          </w:tcPr>
          <w:p w14:paraId="35A67154">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25</w:t>
            </w:r>
          </w:p>
        </w:tc>
        <w:tc>
          <w:tcPr>
            <w:tcW w:w="555" w:type="pct"/>
            <w:gridSpan w:val="2"/>
            <w:tcBorders>
              <w:tl2br w:val="nil"/>
              <w:tr2bl w:val="nil"/>
            </w:tcBorders>
            <w:tcMar>
              <w:top w:w="57" w:type="dxa"/>
              <w:left w:w="85" w:type="dxa"/>
              <w:bottom w:w="57" w:type="dxa"/>
              <w:right w:w="85" w:type="dxa"/>
            </w:tcMar>
            <w:vAlign w:val="center"/>
          </w:tcPr>
          <w:p w14:paraId="33A66C27">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15</w:t>
            </w:r>
          </w:p>
        </w:tc>
        <w:tc>
          <w:tcPr>
            <w:tcW w:w="558" w:type="pct"/>
            <w:tcBorders>
              <w:tl2br w:val="nil"/>
              <w:tr2bl w:val="nil"/>
            </w:tcBorders>
            <w:tcMar>
              <w:top w:w="57" w:type="dxa"/>
              <w:left w:w="85" w:type="dxa"/>
              <w:bottom w:w="57" w:type="dxa"/>
              <w:right w:w="85" w:type="dxa"/>
            </w:tcMar>
            <w:vAlign w:val="center"/>
          </w:tcPr>
          <w:p w14:paraId="465350D6">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10</w:t>
            </w:r>
          </w:p>
        </w:tc>
        <w:tc>
          <w:tcPr>
            <w:tcW w:w="286" w:type="pct"/>
            <w:tcBorders>
              <w:tl2br w:val="nil"/>
              <w:tr2bl w:val="nil"/>
            </w:tcBorders>
            <w:tcMar>
              <w:top w:w="57" w:type="dxa"/>
              <w:left w:w="85" w:type="dxa"/>
              <w:bottom w:w="57" w:type="dxa"/>
              <w:right w:w="85" w:type="dxa"/>
            </w:tcMar>
            <w:vAlign w:val="center"/>
          </w:tcPr>
          <w:p w14:paraId="76BA3AB9">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100</w:t>
            </w:r>
          </w:p>
        </w:tc>
      </w:tr>
      <w:tr w14:paraId="5C7241C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32" w:type="pct"/>
            <w:tcBorders>
              <w:tl2br w:val="nil"/>
              <w:tr2bl w:val="nil"/>
            </w:tcBorders>
            <w:tcMar>
              <w:top w:w="57" w:type="dxa"/>
              <w:left w:w="85" w:type="dxa"/>
              <w:bottom w:w="57" w:type="dxa"/>
              <w:right w:w="85" w:type="dxa"/>
            </w:tcMar>
            <w:vAlign w:val="center"/>
          </w:tcPr>
          <w:p w14:paraId="004285F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457" w:type="pct"/>
            <w:tcBorders>
              <w:tl2br w:val="nil"/>
              <w:tr2bl w:val="nil"/>
            </w:tcBorders>
            <w:tcMar>
              <w:top w:w="57" w:type="dxa"/>
              <w:left w:w="85" w:type="dxa"/>
              <w:bottom w:w="57" w:type="dxa"/>
              <w:right w:w="85" w:type="dxa"/>
            </w:tcMar>
            <w:vAlign w:val="center"/>
          </w:tcPr>
          <w:p w14:paraId="0AA6782E">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15%</w:t>
            </w:r>
          </w:p>
        </w:tc>
        <w:tc>
          <w:tcPr>
            <w:tcW w:w="1080" w:type="pct"/>
            <w:tcBorders>
              <w:tl2br w:val="nil"/>
              <w:tr2bl w:val="nil"/>
            </w:tcBorders>
            <w:tcMar>
              <w:top w:w="57" w:type="dxa"/>
              <w:left w:w="85" w:type="dxa"/>
              <w:bottom w:w="57" w:type="dxa"/>
              <w:right w:w="85" w:type="dxa"/>
            </w:tcMar>
            <w:vAlign w:val="center"/>
          </w:tcPr>
          <w:p w14:paraId="75242005">
            <w:pPr>
              <w:pStyle w:val="2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 xml:space="preserve">过程性测试2 </w:t>
            </w:r>
            <w:r>
              <w:rPr>
                <w:rFonts w:hint="default" w:asciiTheme="minorEastAsia" w:hAnsiTheme="minorEastAsia" w:eastAsiaTheme="minorEastAsia"/>
                <w:sz w:val="21"/>
                <w:szCs w:val="21"/>
                <w:lang w:val="en-US" w:eastAsia="zh-Hans"/>
              </w:rPr>
              <w:t>Mid-term</w:t>
            </w:r>
            <w:r>
              <w:rPr>
                <w:rFonts w:hint="eastAsia" w:asciiTheme="minorEastAsia" w:hAnsiTheme="minorEastAsia" w:eastAsiaTheme="minorEastAsia"/>
                <w:sz w:val="21"/>
                <w:szCs w:val="21"/>
                <w:lang w:val="en-US" w:eastAsia="zh-CN"/>
              </w:rPr>
              <w:t xml:space="preserve"> </w:t>
            </w:r>
            <w:r>
              <w:rPr>
                <w:rFonts w:hint="default" w:asciiTheme="minorEastAsia" w:hAnsiTheme="minorEastAsia" w:eastAsiaTheme="minorEastAsia"/>
                <w:sz w:val="21"/>
                <w:szCs w:val="21"/>
                <w:lang w:val="en-US" w:eastAsia="zh-Hans"/>
              </w:rPr>
              <w:t>test</w:t>
            </w:r>
          </w:p>
        </w:tc>
        <w:tc>
          <w:tcPr>
            <w:tcW w:w="519" w:type="pct"/>
            <w:tcBorders>
              <w:tl2br w:val="nil"/>
              <w:tr2bl w:val="nil"/>
            </w:tcBorders>
            <w:tcMar>
              <w:top w:w="57" w:type="dxa"/>
              <w:left w:w="85" w:type="dxa"/>
              <w:bottom w:w="57" w:type="dxa"/>
              <w:right w:w="85" w:type="dxa"/>
            </w:tcMar>
            <w:vAlign w:val="center"/>
          </w:tcPr>
          <w:p w14:paraId="142BCCA0">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15</w:t>
            </w:r>
          </w:p>
        </w:tc>
        <w:tc>
          <w:tcPr>
            <w:tcW w:w="555" w:type="pct"/>
            <w:tcBorders>
              <w:tl2br w:val="nil"/>
              <w:tr2bl w:val="nil"/>
            </w:tcBorders>
            <w:tcMar>
              <w:top w:w="57" w:type="dxa"/>
              <w:left w:w="85" w:type="dxa"/>
              <w:bottom w:w="57" w:type="dxa"/>
              <w:right w:w="85" w:type="dxa"/>
            </w:tcMar>
            <w:vAlign w:val="center"/>
          </w:tcPr>
          <w:p w14:paraId="221781FE">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25</w:t>
            </w:r>
          </w:p>
        </w:tc>
        <w:tc>
          <w:tcPr>
            <w:tcW w:w="555" w:type="pct"/>
            <w:tcBorders>
              <w:tl2br w:val="nil"/>
              <w:tr2bl w:val="nil"/>
            </w:tcBorders>
            <w:tcMar>
              <w:top w:w="57" w:type="dxa"/>
              <w:left w:w="85" w:type="dxa"/>
              <w:bottom w:w="57" w:type="dxa"/>
              <w:right w:w="85" w:type="dxa"/>
            </w:tcMar>
            <w:vAlign w:val="center"/>
          </w:tcPr>
          <w:p w14:paraId="5371B31D">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25</w:t>
            </w:r>
          </w:p>
        </w:tc>
        <w:tc>
          <w:tcPr>
            <w:tcW w:w="555" w:type="pct"/>
            <w:gridSpan w:val="2"/>
            <w:tcBorders>
              <w:tl2br w:val="nil"/>
              <w:tr2bl w:val="nil"/>
            </w:tcBorders>
            <w:tcMar>
              <w:top w:w="57" w:type="dxa"/>
              <w:left w:w="85" w:type="dxa"/>
              <w:bottom w:w="57" w:type="dxa"/>
              <w:right w:w="85" w:type="dxa"/>
            </w:tcMar>
            <w:vAlign w:val="center"/>
          </w:tcPr>
          <w:p w14:paraId="60E5D8B2">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25</w:t>
            </w:r>
          </w:p>
        </w:tc>
        <w:tc>
          <w:tcPr>
            <w:tcW w:w="558" w:type="pct"/>
            <w:tcBorders>
              <w:tl2br w:val="nil"/>
              <w:tr2bl w:val="nil"/>
            </w:tcBorders>
            <w:tcMar>
              <w:top w:w="57" w:type="dxa"/>
              <w:left w:w="85" w:type="dxa"/>
              <w:bottom w:w="57" w:type="dxa"/>
              <w:right w:w="85" w:type="dxa"/>
            </w:tcMar>
            <w:vAlign w:val="center"/>
          </w:tcPr>
          <w:p w14:paraId="57665C19">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10</w:t>
            </w:r>
          </w:p>
        </w:tc>
        <w:tc>
          <w:tcPr>
            <w:tcW w:w="286" w:type="pct"/>
            <w:tcBorders>
              <w:tl2br w:val="nil"/>
              <w:tr2bl w:val="nil"/>
            </w:tcBorders>
            <w:tcMar>
              <w:top w:w="57" w:type="dxa"/>
              <w:left w:w="85" w:type="dxa"/>
              <w:bottom w:w="57" w:type="dxa"/>
              <w:right w:w="85" w:type="dxa"/>
            </w:tcMar>
            <w:vAlign w:val="center"/>
          </w:tcPr>
          <w:p w14:paraId="6C9852AD">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100</w:t>
            </w:r>
          </w:p>
        </w:tc>
      </w:tr>
      <w:tr w14:paraId="57B12FF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32" w:type="pct"/>
            <w:tcBorders>
              <w:tl2br w:val="nil"/>
              <w:tr2bl w:val="nil"/>
            </w:tcBorders>
            <w:tcMar>
              <w:top w:w="57" w:type="dxa"/>
              <w:left w:w="85" w:type="dxa"/>
              <w:bottom w:w="57" w:type="dxa"/>
              <w:right w:w="85" w:type="dxa"/>
            </w:tcMar>
            <w:vAlign w:val="center"/>
          </w:tcPr>
          <w:p w14:paraId="49FEC4C4">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457" w:type="pct"/>
            <w:tcBorders>
              <w:tl2br w:val="nil"/>
              <w:tr2bl w:val="nil"/>
            </w:tcBorders>
            <w:tcMar>
              <w:top w:w="57" w:type="dxa"/>
              <w:left w:w="85" w:type="dxa"/>
              <w:bottom w:w="57" w:type="dxa"/>
              <w:right w:w="85" w:type="dxa"/>
            </w:tcMar>
            <w:vAlign w:val="center"/>
          </w:tcPr>
          <w:p w14:paraId="5FCCE57A">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w:t>
            </w:r>
          </w:p>
        </w:tc>
        <w:tc>
          <w:tcPr>
            <w:tcW w:w="1080" w:type="pct"/>
            <w:tcBorders>
              <w:tl2br w:val="nil"/>
              <w:tr2bl w:val="nil"/>
            </w:tcBorders>
            <w:tcMar>
              <w:top w:w="57" w:type="dxa"/>
              <w:left w:w="85" w:type="dxa"/>
              <w:bottom w:w="57" w:type="dxa"/>
              <w:right w:w="85" w:type="dxa"/>
            </w:tcMar>
            <w:vAlign w:val="center"/>
          </w:tcPr>
          <w:p w14:paraId="0921D8ED">
            <w:pPr>
              <w:pStyle w:val="2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课堂表现与考勤</w:t>
            </w:r>
            <w:r>
              <w:rPr>
                <w:rFonts w:hint="default" w:asciiTheme="minorEastAsia" w:hAnsiTheme="minorEastAsia" w:eastAsiaTheme="minorEastAsia"/>
                <w:sz w:val="21"/>
                <w:szCs w:val="21"/>
                <w:lang w:val="en-US" w:eastAsia="zh-CN"/>
              </w:rPr>
              <w:t>Class performance (sign in, exercises, discussions, and so on)</w:t>
            </w:r>
          </w:p>
        </w:tc>
        <w:tc>
          <w:tcPr>
            <w:tcW w:w="519" w:type="pct"/>
            <w:tcBorders>
              <w:tl2br w:val="nil"/>
              <w:tr2bl w:val="nil"/>
            </w:tcBorders>
            <w:tcMar>
              <w:top w:w="57" w:type="dxa"/>
              <w:left w:w="85" w:type="dxa"/>
              <w:bottom w:w="57" w:type="dxa"/>
              <w:right w:w="85" w:type="dxa"/>
            </w:tcMar>
            <w:vAlign w:val="center"/>
          </w:tcPr>
          <w:p w14:paraId="1C6E30F6">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w:t>
            </w:r>
          </w:p>
        </w:tc>
        <w:tc>
          <w:tcPr>
            <w:tcW w:w="555" w:type="pct"/>
            <w:tcBorders>
              <w:tl2br w:val="nil"/>
              <w:tr2bl w:val="nil"/>
            </w:tcBorders>
            <w:tcMar>
              <w:top w:w="57" w:type="dxa"/>
              <w:left w:w="85" w:type="dxa"/>
              <w:bottom w:w="57" w:type="dxa"/>
              <w:right w:w="85" w:type="dxa"/>
            </w:tcMar>
            <w:vAlign w:val="center"/>
          </w:tcPr>
          <w:p w14:paraId="014BB69C">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w:t>
            </w:r>
          </w:p>
        </w:tc>
        <w:tc>
          <w:tcPr>
            <w:tcW w:w="555" w:type="pct"/>
            <w:tcBorders>
              <w:tl2br w:val="nil"/>
              <w:tr2bl w:val="nil"/>
            </w:tcBorders>
            <w:tcMar>
              <w:top w:w="57" w:type="dxa"/>
              <w:left w:w="85" w:type="dxa"/>
              <w:bottom w:w="57" w:type="dxa"/>
              <w:right w:w="85" w:type="dxa"/>
            </w:tcMar>
            <w:vAlign w:val="center"/>
          </w:tcPr>
          <w:p w14:paraId="4F56D170">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w:t>
            </w:r>
          </w:p>
        </w:tc>
        <w:tc>
          <w:tcPr>
            <w:tcW w:w="555" w:type="pct"/>
            <w:gridSpan w:val="2"/>
            <w:tcBorders>
              <w:tl2br w:val="nil"/>
              <w:tr2bl w:val="nil"/>
            </w:tcBorders>
            <w:tcMar>
              <w:top w:w="57" w:type="dxa"/>
              <w:left w:w="85" w:type="dxa"/>
              <w:bottom w:w="57" w:type="dxa"/>
              <w:right w:w="85" w:type="dxa"/>
            </w:tcMar>
            <w:vAlign w:val="center"/>
          </w:tcPr>
          <w:p w14:paraId="5720C7AB">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w:t>
            </w:r>
          </w:p>
        </w:tc>
        <w:tc>
          <w:tcPr>
            <w:tcW w:w="558" w:type="pct"/>
            <w:tcBorders>
              <w:tl2br w:val="nil"/>
              <w:tr2bl w:val="nil"/>
            </w:tcBorders>
            <w:tcMar>
              <w:top w:w="57" w:type="dxa"/>
              <w:left w:w="85" w:type="dxa"/>
              <w:bottom w:w="57" w:type="dxa"/>
              <w:right w:w="85" w:type="dxa"/>
            </w:tcMar>
            <w:vAlign w:val="center"/>
          </w:tcPr>
          <w:p w14:paraId="3CAF9DC7">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w:t>
            </w:r>
          </w:p>
        </w:tc>
        <w:tc>
          <w:tcPr>
            <w:tcW w:w="286" w:type="pct"/>
            <w:tcBorders>
              <w:tl2br w:val="nil"/>
              <w:tr2bl w:val="nil"/>
            </w:tcBorders>
            <w:tcMar>
              <w:top w:w="57" w:type="dxa"/>
              <w:left w:w="85" w:type="dxa"/>
              <w:bottom w:w="57" w:type="dxa"/>
              <w:right w:w="85" w:type="dxa"/>
            </w:tcMar>
            <w:vAlign w:val="center"/>
          </w:tcPr>
          <w:p w14:paraId="27A98BC6">
            <w:pPr>
              <w:pStyle w:val="2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100</w:t>
            </w:r>
          </w:p>
        </w:tc>
      </w:tr>
      <w:bookmarkEnd w:id="2"/>
      <w:bookmarkEnd w:id="3"/>
    </w:tbl>
    <w:p w14:paraId="2D23CE26">
      <w:pPr>
        <w:pStyle w:val="22"/>
        <w:spacing w:line="100" w:lineRule="exact"/>
        <w:rPr>
          <w:rFonts w:ascii="黑体" w:hAnsi="宋体"/>
        </w:rPr>
      </w:pPr>
    </w:p>
    <w:p w14:paraId="37B4F7D8">
      <w:pPr>
        <w:pStyle w:val="22"/>
        <w:spacing w:beforeLines="100" w:line="360" w:lineRule="auto"/>
        <w:rPr>
          <w:rFonts w:ascii="黑体" w:hAnsi="宋体"/>
          <w:highlight w:val="none"/>
        </w:rPr>
      </w:pPr>
      <w:r>
        <w:rPr>
          <w:rFonts w:hint="eastAsia" w:ascii="黑体" w:hAnsi="宋体"/>
          <w:highlight w:val="none"/>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E64A40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1EC8A63E">
            <w:pPr>
              <w:pStyle w:val="20"/>
              <w:widowControl w:val="0"/>
              <w:jc w:val="left"/>
              <w:rPr>
                <w:rFonts w:ascii="仿宋" w:hAnsi="仿宋" w:eastAsia="仿宋" w:cs="仿宋"/>
                <w:highlight w:val="none"/>
              </w:rPr>
            </w:pPr>
          </w:p>
          <w:p w14:paraId="11A4F29B">
            <w:pPr>
              <w:pStyle w:val="20"/>
              <w:widowControl w:val="0"/>
              <w:jc w:val="left"/>
              <w:rPr>
                <w:rFonts w:ascii="宋体" w:hAnsi="宋体"/>
                <w:bCs/>
                <w:highlight w:val="none"/>
              </w:rPr>
            </w:pPr>
          </w:p>
          <w:p w14:paraId="4044868C">
            <w:pPr>
              <w:pStyle w:val="20"/>
              <w:widowControl w:val="0"/>
              <w:jc w:val="left"/>
              <w:rPr>
                <w:rFonts w:ascii="黑体"/>
                <w:highlight w:val="none"/>
              </w:rPr>
            </w:pPr>
          </w:p>
        </w:tc>
      </w:tr>
    </w:tbl>
    <w:p w14:paraId="5E249FAA">
      <w:pPr>
        <w:pStyle w:val="22"/>
        <w:rPr>
          <w:rFonts w:ascii="黑体" w:hAnsi="宋体"/>
          <w:sz w:val="18"/>
          <w:szCs w:val="16"/>
          <w:highlight w:val="none"/>
        </w:rPr>
      </w:pPr>
    </w:p>
    <w:p w14:paraId="2858156F">
      <w:pPr>
        <w:pStyle w:val="22"/>
        <w:spacing w:line="100" w:lineRule="exact"/>
        <w:rPr>
          <w:rFonts w:ascii="黑体" w:hAnsi="宋体"/>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09E51D-0C10-4FB2-8FFB-F503384722E4}"/>
  </w:font>
  <w:font w:name="黑体">
    <w:panose1 w:val="02010609060101010101"/>
    <w:charset w:val="86"/>
    <w:family w:val="auto"/>
    <w:pitch w:val="default"/>
    <w:sig w:usb0="800002BF" w:usb1="38CF7CFA" w:usb2="00000016" w:usb3="00000000" w:csb0="00040001" w:csb1="00000000"/>
    <w:embedRegular r:id="rId2" w:fontKey="{6F267FA7-9F96-45B4-8861-7DB2F2F96B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Bold">
    <w:altName w:val="Times New Roman"/>
    <w:panose1 w:val="02020503050405090304"/>
    <w:charset w:val="00"/>
    <w:family w:val="auto"/>
    <w:pitch w:val="default"/>
    <w:sig w:usb0="00000000" w:usb1="00000000" w:usb2="00000001" w:usb3="00000000" w:csb0="400001BF" w:csb1="DFF70000"/>
    <w:embedRegular r:id="rId3" w:fontKey="{894613A1-B5D7-419A-863A-628ED573F8A7}"/>
  </w:font>
  <w:font w:name="华文宋体">
    <w:panose1 w:val="02010600040101010101"/>
    <w:charset w:val="86"/>
    <w:family w:val="auto"/>
    <w:pitch w:val="default"/>
    <w:sig w:usb0="00000287" w:usb1="080F0000" w:usb2="00000000" w:usb3="00000000" w:csb0="0004009F" w:csb1="DFD70000"/>
    <w:embedRegular r:id="rId4" w:fontKey="{910E3ECC-AD3A-41CF-B639-DA2CA2BAAABE}"/>
  </w:font>
  <w:font w:name="仿宋">
    <w:panose1 w:val="02010609060101010101"/>
    <w:charset w:val="86"/>
    <w:family w:val="modern"/>
    <w:pitch w:val="default"/>
    <w:sig w:usb0="800002BF" w:usb1="38CF7CFA" w:usb2="00000016" w:usb3="00000000" w:csb0="00040001" w:csb1="00000000"/>
    <w:embedRegular r:id="rId5" w:fontKey="{00701605-1D1E-46DB-A621-DEAB8D04CC45}"/>
  </w:font>
  <w:font w:name="方正小标宋简体">
    <w:altName w:val="Arial Unicode MS"/>
    <w:panose1 w:val="00000000000000000000"/>
    <w:charset w:val="86"/>
    <w:family w:val="script"/>
    <w:pitch w:val="default"/>
    <w:sig w:usb0="00000000" w:usb1="00000000" w:usb2="00000000" w:usb3="00000000" w:csb0="00040000" w:csb1="00000000"/>
    <w:embedRegular r:id="rId6" w:fontKey="{DF6A5049-6A0F-4C12-92E4-CAA30CA53038}"/>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17B06">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4770" cy="1460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93B87">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5.1pt;mso-position-horizontal:center;mso-position-horizontal-relative:margin;mso-wrap-style:none;z-index:251660288;mso-width-relative:page;mso-height-relative:page;" filled="f" stroked="f" coordsize="21600,21600" o:gfxdata="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fzS7RAAAAAwEAAA8AAAAAAAAAAQAgAAAAIgAAAGRycy9kb3ducmV2LnhtbFBLAQIUABQAAAAI&#10;AIdO4kB6Np3oLQIAAFIEAAAOAAAAAAAAAAEAIAAAACABAABkcnMvZTJvRG9jLnhtbFBLBQYAAAAA&#10;BgAGAFkBAAC/BQAAAAA=&#10;">
              <v:fill on="f" focussize="0,0"/>
              <v:stroke on="f" weight="0.5pt"/>
              <v:imagedata o:title=""/>
              <o:lock v:ext="edit" aspectratio="f"/>
              <v:textbox inset="0mm,0mm,0mm,0mm" style="mso-fit-shape-to-text:t;">
                <w:txbxContent>
                  <w:p w14:paraId="00493B87">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2FE6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0A0AAC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0A0AAC2">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2CB78"/>
    <w:multiLevelType w:val="singleLevel"/>
    <w:tmpl w:val="9832CB78"/>
    <w:lvl w:ilvl="0" w:tentative="0">
      <w:start w:val="1"/>
      <w:numFmt w:val="decimal"/>
      <w:lvlText w:val="%1."/>
      <w:lvlJc w:val="left"/>
      <w:pPr>
        <w:ind w:left="425" w:hanging="425"/>
      </w:pPr>
      <w:rPr>
        <w:rFonts w:hint="default"/>
      </w:rPr>
    </w:lvl>
  </w:abstractNum>
  <w:abstractNum w:abstractNumId="1">
    <w:nsid w:val="B0C28328"/>
    <w:multiLevelType w:val="singleLevel"/>
    <w:tmpl w:val="B0C28328"/>
    <w:lvl w:ilvl="0" w:tentative="0">
      <w:start w:val="1"/>
      <w:numFmt w:val="decimal"/>
      <w:lvlText w:val="%1."/>
      <w:lvlJc w:val="left"/>
      <w:pPr>
        <w:ind w:left="425" w:hanging="425"/>
      </w:pPr>
      <w:rPr>
        <w:rFonts w:hint="default"/>
      </w:rPr>
    </w:lvl>
  </w:abstractNum>
  <w:abstractNum w:abstractNumId="2">
    <w:nsid w:val="76ADF9E5"/>
    <w:multiLevelType w:val="singleLevel"/>
    <w:tmpl w:val="76ADF9E5"/>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Y2Q4ZGRmYmI2NzQ2MWY4YjliZDlmNzk3YzhlYWMifQ=="/>
  </w:docVars>
  <w:rsids>
    <w:rsidRoot w:val="00B7651F"/>
    <w:rsid w:val="00003812"/>
    <w:rsid w:val="000106E2"/>
    <w:rsid w:val="00017AE0"/>
    <w:rsid w:val="000203E0"/>
    <w:rsid w:val="000210E0"/>
    <w:rsid w:val="00022E0B"/>
    <w:rsid w:val="00031159"/>
    <w:rsid w:val="00031ADC"/>
    <w:rsid w:val="00033082"/>
    <w:rsid w:val="00044088"/>
    <w:rsid w:val="00053590"/>
    <w:rsid w:val="00056017"/>
    <w:rsid w:val="0006001D"/>
    <w:rsid w:val="00063470"/>
    <w:rsid w:val="00066041"/>
    <w:rsid w:val="00073477"/>
    <w:rsid w:val="00076794"/>
    <w:rsid w:val="0008122A"/>
    <w:rsid w:val="00087488"/>
    <w:rsid w:val="0009050A"/>
    <w:rsid w:val="000969A3"/>
    <w:rsid w:val="0009721F"/>
    <w:rsid w:val="000A4E73"/>
    <w:rsid w:val="000B1BD2"/>
    <w:rsid w:val="000C028A"/>
    <w:rsid w:val="000C0F0D"/>
    <w:rsid w:val="000C13BC"/>
    <w:rsid w:val="000D28E5"/>
    <w:rsid w:val="000D34D7"/>
    <w:rsid w:val="000E29BB"/>
    <w:rsid w:val="000E3E4C"/>
    <w:rsid w:val="00100633"/>
    <w:rsid w:val="00102E59"/>
    <w:rsid w:val="001072BC"/>
    <w:rsid w:val="00114BD6"/>
    <w:rsid w:val="00121849"/>
    <w:rsid w:val="00130F6D"/>
    <w:rsid w:val="00133554"/>
    <w:rsid w:val="00144082"/>
    <w:rsid w:val="0016381F"/>
    <w:rsid w:val="00163A48"/>
    <w:rsid w:val="00163FF5"/>
    <w:rsid w:val="00164E36"/>
    <w:rsid w:val="001678A2"/>
    <w:rsid w:val="00176FE4"/>
    <w:rsid w:val="00183AA1"/>
    <w:rsid w:val="0018767C"/>
    <w:rsid w:val="001A094F"/>
    <w:rsid w:val="001A135C"/>
    <w:rsid w:val="001A5C6D"/>
    <w:rsid w:val="001B0D49"/>
    <w:rsid w:val="001B174E"/>
    <w:rsid w:val="001B29A5"/>
    <w:rsid w:val="001B546F"/>
    <w:rsid w:val="001C16FC"/>
    <w:rsid w:val="001C247C"/>
    <w:rsid w:val="001C2E3E"/>
    <w:rsid w:val="001C388D"/>
    <w:rsid w:val="001C400C"/>
    <w:rsid w:val="001D5167"/>
    <w:rsid w:val="001E0494"/>
    <w:rsid w:val="001E1D2D"/>
    <w:rsid w:val="001E5A17"/>
    <w:rsid w:val="001E67BD"/>
    <w:rsid w:val="001E75DC"/>
    <w:rsid w:val="001F284E"/>
    <w:rsid w:val="001F332E"/>
    <w:rsid w:val="00217861"/>
    <w:rsid w:val="002204E4"/>
    <w:rsid w:val="002211BF"/>
    <w:rsid w:val="00227C43"/>
    <w:rsid w:val="00233F15"/>
    <w:rsid w:val="002420F1"/>
    <w:rsid w:val="00253AC8"/>
    <w:rsid w:val="00256B39"/>
    <w:rsid w:val="0026033C"/>
    <w:rsid w:val="0027339A"/>
    <w:rsid w:val="00274E82"/>
    <w:rsid w:val="002757AB"/>
    <w:rsid w:val="0027777C"/>
    <w:rsid w:val="00277FE7"/>
    <w:rsid w:val="002877FA"/>
    <w:rsid w:val="00290962"/>
    <w:rsid w:val="0029110B"/>
    <w:rsid w:val="00295CB3"/>
    <w:rsid w:val="002A27C0"/>
    <w:rsid w:val="002A4649"/>
    <w:rsid w:val="002A7227"/>
    <w:rsid w:val="002B0773"/>
    <w:rsid w:val="002B0C48"/>
    <w:rsid w:val="002B13CA"/>
    <w:rsid w:val="002B3650"/>
    <w:rsid w:val="002B7322"/>
    <w:rsid w:val="002C58B6"/>
    <w:rsid w:val="002C78C4"/>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06CB"/>
    <w:rsid w:val="003528C7"/>
    <w:rsid w:val="00353F74"/>
    <w:rsid w:val="003557DE"/>
    <w:rsid w:val="00361BEB"/>
    <w:rsid w:val="003625D1"/>
    <w:rsid w:val="00370184"/>
    <w:rsid w:val="003728E8"/>
    <w:rsid w:val="00373C8A"/>
    <w:rsid w:val="00377C10"/>
    <w:rsid w:val="00382C4E"/>
    <w:rsid w:val="00384A1F"/>
    <w:rsid w:val="00384D60"/>
    <w:rsid w:val="00385D41"/>
    <w:rsid w:val="003861BA"/>
    <w:rsid w:val="00387848"/>
    <w:rsid w:val="003A1680"/>
    <w:rsid w:val="003A373C"/>
    <w:rsid w:val="003A5874"/>
    <w:rsid w:val="003B1258"/>
    <w:rsid w:val="003B3D5B"/>
    <w:rsid w:val="003B4A81"/>
    <w:rsid w:val="003C16D9"/>
    <w:rsid w:val="003C1F8D"/>
    <w:rsid w:val="003C61A5"/>
    <w:rsid w:val="003D1968"/>
    <w:rsid w:val="003D4994"/>
    <w:rsid w:val="003E10A5"/>
    <w:rsid w:val="003E2AC0"/>
    <w:rsid w:val="003E38D5"/>
    <w:rsid w:val="003E7D72"/>
    <w:rsid w:val="003F15CF"/>
    <w:rsid w:val="003F3452"/>
    <w:rsid w:val="003F3923"/>
    <w:rsid w:val="003F395D"/>
    <w:rsid w:val="003F43F6"/>
    <w:rsid w:val="004019DB"/>
    <w:rsid w:val="00402B67"/>
    <w:rsid w:val="00403C91"/>
    <w:rsid w:val="0040433E"/>
    <w:rsid w:val="00404974"/>
    <w:rsid w:val="0040726A"/>
    <w:rsid w:val="004100B0"/>
    <w:rsid w:val="0041267F"/>
    <w:rsid w:val="00413522"/>
    <w:rsid w:val="004159ED"/>
    <w:rsid w:val="00424BA5"/>
    <w:rsid w:val="00425431"/>
    <w:rsid w:val="00431829"/>
    <w:rsid w:val="00433349"/>
    <w:rsid w:val="00437B60"/>
    <w:rsid w:val="004405E6"/>
    <w:rsid w:val="00443081"/>
    <w:rsid w:val="00443C84"/>
    <w:rsid w:val="00443C89"/>
    <w:rsid w:val="004540AA"/>
    <w:rsid w:val="00456BD8"/>
    <w:rsid w:val="00456DC8"/>
    <w:rsid w:val="00461E07"/>
    <w:rsid w:val="0046549D"/>
    <w:rsid w:val="00471668"/>
    <w:rsid w:val="004770A1"/>
    <w:rsid w:val="00481F98"/>
    <w:rsid w:val="004852BF"/>
    <w:rsid w:val="00487A46"/>
    <w:rsid w:val="00493504"/>
    <w:rsid w:val="00494579"/>
    <w:rsid w:val="00497334"/>
    <w:rsid w:val="004A4645"/>
    <w:rsid w:val="004A6F3A"/>
    <w:rsid w:val="004B408D"/>
    <w:rsid w:val="004B6B46"/>
    <w:rsid w:val="004B6F68"/>
    <w:rsid w:val="004B73F7"/>
    <w:rsid w:val="004D4FB3"/>
    <w:rsid w:val="004D75A6"/>
    <w:rsid w:val="004D7F2A"/>
    <w:rsid w:val="004E3456"/>
    <w:rsid w:val="004E5FFE"/>
    <w:rsid w:val="004F15C8"/>
    <w:rsid w:val="004F3DF0"/>
    <w:rsid w:val="005020D6"/>
    <w:rsid w:val="005074E1"/>
    <w:rsid w:val="005126F1"/>
    <w:rsid w:val="0051279B"/>
    <w:rsid w:val="00513F2F"/>
    <w:rsid w:val="00515232"/>
    <w:rsid w:val="0051612A"/>
    <w:rsid w:val="00517176"/>
    <w:rsid w:val="0052192E"/>
    <w:rsid w:val="00524300"/>
    <w:rsid w:val="00527DDB"/>
    <w:rsid w:val="00541F72"/>
    <w:rsid w:val="00542388"/>
    <w:rsid w:val="00544523"/>
    <w:rsid w:val="005467DC"/>
    <w:rsid w:val="00546A82"/>
    <w:rsid w:val="00547C51"/>
    <w:rsid w:val="00551335"/>
    <w:rsid w:val="005519BB"/>
    <w:rsid w:val="005523FD"/>
    <w:rsid w:val="00553D03"/>
    <w:rsid w:val="00555BA0"/>
    <w:rsid w:val="00556E41"/>
    <w:rsid w:val="005618DB"/>
    <w:rsid w:val="00561E0F"/>
    <w:rsid w:val="0057496F"/>
    <w:rsid w:val="005770A6"/>
    <w:rsid w:val="00584491"/>
    <w:rsid w:val="00585715"/>
    <w:rsid w:val="00586AB3"/>
    <w:rsid w:val="0059045B"/>
    <w:rsid w:val="00597EC2"/>
    <w:rsid w:val="005A13AB"/>
    <w:rsid w:val="005A7DF1"/>
    <w:rsid w:val="005B1150"/>
    <w:rsid w:val="005B1FFC"/>
    <w:rsid w:val="005B2B6D"/>
    <w:rsid w:val="005B4B4E"/>
    <w:rsid w:val="005C3A76"/>
    <w:rsid w:val="005C686E"/>
    <w:rsid w:val="005C76EA"/>
    <w:rsid w:val="005D0B5D"/>
    <w:rsid w:val="005D4BCF"/>
    <w:rsid w:val="005D5B6F"/>
    <w:rsid w:val="005E38A5"/>
    <w:rsid w:val="005F3675"/>
    <w:rsid w:val="005F5185"/>
    <w:rsid w:val="0060340B"/>
    <w:rsid w:val="00603912"/>
    <w:rsid w:val="00605FB0"/>
    <w:rsid w:val="0062115C"/>
    <w:rsid w:val="00621B21"/>
    <w:rsid w:val="0062265B"/>
    <w:rsid w:val="00623783"/>
    <w:rsid w:val="00624B5C"/>
    <w:rsid w:val="00624FE1"/>
    <w:rsid w:val="0062577D"/>
    <w:rsid w:val="0063249D"/>
    <w:rsid w:val="006331EE"/>
    <w:rsid w:val="006355E6"/>
    <w:rsid w:val="00637E00"/>
    <w:rsid w:val="0064038A"/>
    <w:rsid w:val="0065167D"/>
    <w:rsid w:val="00652D13"/>
    <w:rsid w:val="00664B25"/>
    <w:rsid w:val="0066595A"/>
    <w:rsid w:val="00666206"/>
    <w:rsid w:val="00672788"/>
    <w:rsid w:val="00676183"/>
    <w:rsid w:val="00680DA3"/>
    <w:rsid w:val="006819CC"/>
    <w:rsid w:val="0068377F"/>
    <w:rsid w:val="00685A7B"/>
    <w:rsid w:val="0069116F"/>
    <w:rsid w:val="00691B24"/>
    <w:rsid w:val="00695B49"/>
    <w:rsid w:val="00695B93"/>
    <w:rsid w:val="006976F8"/>
    <w:rsid w:val="00697C16"/>
    <w:rsid w:val="006A07BB"/>
    <w:rsid w:val="006A1347"/>
    <w:rsid w:val="006A5A89"/>
    <w:rsid w:val="006B29D0"/>
    <w:rsid w:val="006B3BB9"/>
    <w:rsid w:val="006B48AC"/>
    <w:rsid w:val="006B5977"/>
    <w:rsid w:val="006C2AEB"/>
    <w:rsid w:val="006C5FE3"/>
    <w:rsid w:val="006D1B59"/>
    <w:rsid w:val="006D2F9C"/>
    <w:rsid w:val="006D4351"/>
    <w:rsid w:val="006D5424"/>
    <w:rsid w:val="006E208A"/>
    <w:rsid w:val="006E5CA9"/>
    <w:rsid w:val="006E5E98"/>
    <w:rsid w:val="006E7A37"/>
    <w:rsid w:val="006F3151"/>
    <w:rsid w:val="006F52E0"/>
    <w:rsid w:val="006F6D30"/>
    <w:rsid w:val="007011CA"/>
    <w:rsid w:val="00703469"/>
    <w:rsid w:val="007056DE"/>
    <w:rsid w:val="00706121"/>
    <w:rsid w:val="00710B6B"/>
    <w:rsid w:val="00712A2C"/>
    <w:rsid w:val="00712E84"/>
    <w:rsid w:val="00714914"/>
    <w:rsid w:val="007204E0"/>
    <w:rsid w:val="007208D6"/>
    <w:rsid w:val="00726786"/>
    <w:rsid w:val="00732152"/>
    <w:rsid w:val="007410DD"/>
    <w:rsid w:val="007428DF"/>
    <w:rsid w:val="00742BD1"/>
    <w:rsid w:val="00742E7A"/>
    <w:rsid w:val="0074424F"/>
    <w:rsid w:val="00751FCA"/>
    <w:rsid w:val="00754EAB"/>
    <w:rsid w:val="00757536"/>
    <w:rsid w:val="00764FD9"/>
    <w:rsid w:val="00770CDE"/>
    <w:rsid w:val="007740B2"/>
    <w:rsid w:val="00774C1F"/>
    <w:rsid w:val="00774D78"/>
    <w:rsid w:val="0078194F"/>
    <w:rsid w:val="007908F6"/>
    <w:rsid w:val="007934A4"/>
    <w:rsid w:val="007A0AC9"/>
    <w:rsid w:val="007A1B70"/>
    <w:rsid w:val="007A2E3D"/>
    <w:rsid w:val="007A4BDA"/>
    <w:rsid w:val="007A57F6"/>
    <w:rsid w:val="007A702E"/>
    <w:rsid w:val="007B4FFB"/>
    <w:rsid w:val="007B6F03"/>
    <w:rsid w:val="007C0055"/>
    <w:rsid w:val="007C0BCE"/>
    <w:rsid w:val="007C1D1B"/>
    <w:rsid w:val="007C3566"/>
    <w:rsid w:val="007C794A"/>
    <w:rsid w:val="007D5326"/>
    <w:rsid w:val="007D5A33"/>
    <w:rsid w:val="007E3E85"/>
    <w:rsid w:val="007E4F3A"/>
    <w:rsid w:val="007E620F"/>
    <w:rsid w:val="007E663C"/>
    <w:rsid w:val="007E7795"/>
    <w:rsid w:val="007F3313"/>
    <w:rsid w:val="0080066B"/>
    <w:rsid w:val="0080269E"/>
    <w:rsid w:val="00803578"/>
    <w:rsid w:val="00815B8D"/>
    <w:rsid w:val="00815B8E"/>
    <w:rsid w:val="00816D99"/>
    <w:rsid w:val="0082324C"/>
    <w:rsid w:val="00823D71"/>
    <w:rsid w:val="008245AF"/>
    <w:rsid w:val="008256B9"/>
    <w:rsid w:val="0083705D"/>
    <w:rsid w:val="0084242F"/>
    <w:rsid w:val="00845795"/>
    <w:rsid w:val="00847437"/>
    <w:rsid w:val="00857D4C"/>
    <w:rsid w:val="00881D89"/>
    <w:rsid w:val="00882E15"/>
    <w:rsid w:val="00883C73"/>
    <w:rsid w:val="008901A2"/>
    <w:rsid w:val="0089244E"/>
    <w:rsid w:val="008A08B0"/>
    <w:rsid w:val="008A3552"/>
    <w:rsid w:val="008B0385"/>
    <w:rsid w:val="008B1082"/>
    <w:rsid w:val="008B188E"/>
    <w:rsid w:val="008B397C"/>
    <w:rsid w:val="008B47F4"/>
    <w:rsid w:val="008B7448"/>
    <w:rsid w:val="008B7E1E"/>
    <w:rsid w:val="008C0886"/>
    <w:rsid w:val="008C2AE6"/>
    <w:rsid w:val="008C2DE8"/>
    <w:rsid w:val="008C5113"/>
    <w:rsid w:val="008C5B8A"/>
    <w:rsid w:val="008D3D5F"/>
    <w:rsid w:val="008D4A17"/>
    <w:rsid w:val="008D4E81"/>
    <w:rsid w:val="008D505F"/>
    <w:rsid w:val="008E0F55"/>
    <w:rsid w:val="008E1528"/>
    <w:rsid w:val="008F253F"/>
    <w:rsid w:val="008F7F31"/>
    <w:rsid w:val="00900019"/>
    <w:rsid w:val="009023B1"/>
    <w:rsid w:val="00906C83"/>
    <w:rsid w:val="00907900"/>
    <w:rsid w:val="009147D6"/>
    <w:rsid w:val="00914D98"/>
    <w:rsid w:val="00925F8C"/>
    <w:rsid w:val="00927324"/>
    <w:rsid w:val="0093184D"/>
    <w:rsid w:val="00932ED7"/>
    <w:rsid w:val="00933990"/>
    <w:rsid w:val="00941B89"/>
    <w:rsid w:val="00941DEA"/>
    <w:rsid w:val="00951806"/>
    <w:rsid w:val="00956A56"/>
    <w:rsid w:val="00960947"/>
    <w:rsid w:val="009656CC"/>
    <w:rsid w:val="00970E8C"/>
    <w:rsid w:val="00971671"/>
    <w:rsid w:val="00974973"/>
    <w:rsid w:val="00981A37"/>
    <w:rsid w:val="009830B2"/>
    <w:rsid w:val="0099063E"/>
    <w:rsid w:val="00992356"/>
    <w:rsid w:val="00992674"/>
    <w:rsid w:val="00994793"/>
    <w:rsid w:val="00996AE3"/>
    <w:rsid w:val="009977A1"/>
    <w:rsid w:val="009A0450"/>
    <w:rsid w:val="009A1E27"/>
    <w:rsid w:val="009A307B"/>
    <w:rsid w:val="009B04E7"/>
    <w:rsid w:val="009B14E8"/>
    <w:rsid w:val="009B4D21"/>
    <w:rsid w:val="009B5A73"/>
    <w:rsid w:val="009C54C9"/>
    <w:rsid w:val="009C589C"/>
    <w:rsid w:val="009C7D16"/>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2163"/>
    <w:rsid w:val="00A04523"/>
    <w:rsid w:val="00A10F3A"/>
    <w:rsid w:val="00A16159"/>
    <w:rsid w:val="00A161E6"/>
    <w:rsid w:val="00A17885"/>
    <w:rsid w:val="00A2337D"/>
    <w:rsid w:val="00A25A31"/>
    <w:rsid w:val="00A30014"/>
    <w:rsid w:val="00A31BBE"/>
    <w:rsid w:val="00A31CEE"/>
    <w:rsid w:val="00A31D34"/>
    <w:rsid w:val="00A333EF"/>
    <w:rsid w:val="00A338E5"/>
    <w:rsid w:val="00A33F85"/>
    <w:rsid w:val="00A40645"/>
    <w:rsid w:val="00A6016C"/>
    <w:rsid w:val="00A74AC4"/>
    <w:rsid w:val="00A769B1"/>
    <w:rsid w:val="00A77DA3"/>
    <w:rsid w:val="00A837D5"/>
    <w:rsid w:val="00A83E04"/>
    <w:rsid w:val="00A903AD"/>
    <w:rsid w:val="00A91091"/>
    <w:rsid w:val="00A91A91"/>
    <w:rsid w:val="00A93EE3"/>
    <w:rsid w:val="00A94BA9"/>
    <w:rsid w:val="00AA2281"/>
    <w:rsid w:val="00AA477B"/>
    <w:rsid w:val="00AA4970"/>
    <w:rsid w:val="00AA536D"/>
    <w:rsid w:val="00AB13AC"/>
    <w:rsid w:val="00AB22C0"/>
    <w:rsid w:val="00AB28FC"/>
    <w:rsid w:val="00AB49E4"/>
    <w:rsid w:val="00AC1479"/>
    <w:rsid w:val="00AC2AAC"/>
    <w:rsid w:val="00AC40F1"/>
    <w:rsid w:val="00AC4C45"/>
    <w:rsid w:val="00AD1085"/>
    <w:rsid w:val="00AD5B40"/>
    <w:rsid w:val="00AF0271"/>
    <w:rsid w:val="00AF289F"/>
    <w:rsid w:val="00AF30B9"/>
    <w:rsid w:val="00AF43DF"/>
    <w:rsid w:val="00AF62FD"/>
    <w:rsid w:val="00AF67A4"/>
    <w:rsid w:val="00AF7158"/>
    <w:rsid w:val="00AF7510"/>
    <w:rsid w:val="00B05E80"/>
    <w:rsid w:val="00B12D31"/>
    <w:rsid w:val="00B15F6E"/>
    <w:rsid w:val="00B21BEE"/>
    <w:rsid w:val="00B23284"/>
    <w:rsid w:val="00B37D43"/>
    <w:rsid w:val="00B44488"/>
    <w:rsid w:val="00B46F21"/>
    <w:rsid w:val="00B511A5"/>
    <w:rsid w:val="00B51CDE"/>
    <w:rsid w:val="00B56541"/>
    <w:rsid w:val="00B605ED"/>
    <w:rsid w:val="00B60A0E"/>
    <w:rsid w:val="00B71F97"/>
    <w:rsid w:val="00B72538"/>
    <w:rsid w:val="00B736A7"/>
    <w:rsid w:val="00B7651F"/>
    <w:rsid w:val="00B83824"/>
    <w:rsid w:val="00B919FA"/>
    <w:rsid w:val="00B94A16"/>
    <w:rsid w:val="00BA6044"/>
    <w:rsid w:val="00BB1A93"/>
    <w:rsid w:val="00BC14BF"/>
    <w:rsid w:val="00BC2625"/>
    <w:rsid w:val="00BC3200"/>
    <w:rsid w:val="00BC338A"/>
    <w:rsid w:val="00BD7AB0"/>
    <w:rsid w:val="00BE2791"/>
    <w:rsid w:val="00BF3C20"/>
    <w:rsid w:val="00BF5BD3"/>
    <w:rsid w:val="00C011BC"/>
    <w:rsid w:val="00C03DBA"/>
    <w:rsid w:val="00C041FF"/>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5A12"/>
    <w:rsid w:val="00C56E09"/>
    <w:rsid w:val="00C61B1B"/>
    <w:rsid w:val="00C66AB7"/>
    <w:rsid w:val="00C673D1"/>
    <w:rsid w:val="00C711DE"/>
    <w:rsid w:val="00C746CB"/>
    <w:rsid w:val="00C77BBF"/>
    <w:rsid w:val="00C77D64"/>
    <w:rsid w:val="00C81564"/>
    <w:rsid w:val="00C9080C"/>
    <w:rsid w:val="00C94429"/>
    <w:rsid w:val="00CA18FD"/>
    <w:rsid w:val="00CA27E5"/>
    <w:rsid w:val="00CA4897"/>
    <w:rsid w:val="00CA618F"/>
    <w:rsid w:val="00CA6928"/>
    <w:rsid w:val="00CB3D3F"/>
    <w:rsid w:val="00CB54CE"/>
    <w:rsid w:val="00CB5A1A"/>
    <w:rsid w:val="00CC59E6"/>
    <w:rsid w:val="00CC664B"/>
    <w:rsid w:val="00CD5BDD"/>
    <w:rsid w:val="00CF096B"/>
    <w:rsid w:val="00CF10F7"/>
    <w:rsid w:val="00CF5EE3"/>
    <w:rsid w:val="00CF691F"/>
    <w:rsid w:val="00D00D99"/>
    <w:rsid w:val="00D013A4"/>
    <w:rsid w:val="00D026DC"/>
    <w:rsid w:val="00D0714C"/>
    <w:rsid w:val="00D15595"/>
    <w:rsid w:val="00D27B2D"/>
    <w:rsid w:val="00D343A8"/>
    <w:rsid w:val="00D359A9"/>
    <w:rsid w:val="00D37832"/>
    <w:rsid w:val="00D44860"/>
    <w:rsid w:val="00D45B6E"/>
    <w:rsid w:val="00D47689"/>
    <w:rsid w:val="00D50C42"/>
    <w:rsid w:val="00D57CF5"/>
    <w:rsid w:val="00D612BC"/>
    <w:rsid w:val="00D62F98"/>
    <w:rsid w:val="00D66FD6"/>
    <w:rsid w:val="00D8285B"/>
    <w:rsid w:val="00D862EB"/>
    <w:rsid w:val="00D86619"/>
    <w:rsid w:val="00D86859"/>
    <w:rsid w:val="00D91966"/>
    <w:rsid w:val="00D93E7C"/>
    <w:rsid w:val="00DB2BE6"/>
    <w:rsid w:val="00DB76B3"/>
    <w:rsid w:val="00DC5C0C"/>
    <w:rsid w:val="00DD1052"/>
    <w:rsid w:val="00DD36CE"/>
    <w:rsid w:val="00DD3C7B"/>
    <w:rsid w:val="00DE2B21"/>
    <w:rsid w:val="00DE48DE"/>
    <w:rsid w:val="00DF25F2"/>
    <w:rsid w:val="00DF2851"/>
    <w:rsid w:val="00DF4166"/>
    <w:rsid w:val="00E000F4"/>
    <w:rsid w:val="00E01231"/>
    <w:rsid w:val="00E02C1A"/>
    <w:rsid w:val="00E04279"/>
    <w:rsid w:val="00E11393"/>
    <w:rsid w:val="00E125A4"/>
    <w:rsid w:val="00E125D9"/>
    <w:rsid w:val="00E1564F"/>
    <w:rsid w:val="00E16D30"/>
    <w:rsid w:val="00E16DE0"/>
    <w:rsid w:val="00E249FE"/>
    <w:rsid w:val="00E31E69"/>
    <w:rsid w:val="00E33169"/>
    <w:rsid w:val="00E34A7B"/>
    <w:rsid w:val="00E40973"/>
    <w:rsid w:val="00E51764"/>
    <w:rsid w:val="00E545FF"/>
    <w:rsid w:val="00E6080E"/>
    <w:rsid w:val="00E62409"/>
    <w:rsid w:val="00E64168"/>
    <w:rsid w:val="00E655B3"/>
    <w:rsid w:val="00E66995"/>
    <w:rsid w:val="00E7081D"/>
    <w:rsid w:val="00E70904"/>
    <w:rsid w:val="00E71319"/>
    <w:rsid w:val="00E75171"/>
    <w:rsid w:val="00E804B0"/>
    <w:rsid w:val="00E81962"/>
    <w:rsid w:val="00E86772"/>
    <w:rsid w:val="00E90B8B"/>
    <w:rsid w:val="00E93ADD"/>
    <w:rsid w:val="00E94FEB"/>
    <w:rsid w:val="00E952D8"/>
    <w:rsid w:val="00E953EE"/>
    <w:rsid w:val="00EB00E4"/>
    <w:rsid w:val="00EB28DA"/>
    <w:rsid w:val="00EB3812"/>
    <w:rsid w:val="00EB44EB"/>
    <w:rsid w:val="00EB66B8"/>
    <w:rsid w:val="00EB791E"/>
    <w:rsid w:val="00EC4D52"/>
    <w:rsid w:val="00EC70A9"/>
    <w:rsid w:val="00ED4C3A"/>
    <w:rsid w:val="00ED6BAD"/>
    <w:rsid w:val="00ED73B2"/>
    <w:rsid w:val="00EE1C85"/>
    <w:rsid w:val="00EF21D9"/>
    <w:rsid w:val="00EF2A94"/>
    <w:rsid w:val="00EF32FB"/>
    <w:rsid w:val="00EF44B1"/>
    <w:rsid w:val="00EF4865"/>
    <w:rsid w:val="00EF5954"/>
    <w:rsid w:val="00F07D57"/>
    <w:rsid w:val="00F100D2"/>
    <w:rsid w:val="00F12942"/>
    <w:rsid w:val="00F13C41"/>
    <w:rsid w:val="00F14886"/>
    <w:rsid w:val="00F16421"/>
    <w:rsid w:val="00F201EE"/>
    <w:rsid w:val="00F25D68"/>
    <w:rsid w:val="00F35AA0"/>
    <w:rsid w:val="00F35EEB"/>
    <w:rsid w:val="00F4160D"/>
    <w:rsid w:val="00F42124"/>
    <w:rsid w:val="00F43C49"/>
    <w:rsid w:val="00F45C12"/>
    <w:rsid w:val="00F544A2"/>
    <w:rsid w:val="00F555BB"/>
    <w:rsid w:val="00F6328B"/>
    <w:rsid w:val="00F73D03"/>
    <w:rsid w:val="00F76CB9"/>
    <w:rsid w:val="00F77A73"/>
    <w:rsid w:val="00F80E46"/>
    <w:rsid w:val="00F81977"/>
    <w:rsid w:val="00F83B34"/>
    <w:rsid w:val="00F96236"/>
    <w:rsid w:val="00FA10CE"/>
    <w:rsid w:val="00FA222F"/>
    <w:rsid w:val="00FA2891"/>
    <w:rsid w:val="00FB693D"/>
    <w:rsid w:val="00FB7768"/>
    <w:rsid w:val="00FC4766"/>
    <w:rsid w:val="00FC7489"/>
    <w:rsid w:val="00FD0004"/>
    <w:rsid w:val="00FD1BA8"/>
    <w:rsid w:val="00FD218F"/>
    <w:rsid w:val="00FD5663"/>
    <w:rsid w:val="00FD56C6"/>
    <w:rsid w:val="00FE3221"/>
    <w:rsid w:val="00FE48EA"/>
    <w:rsid w:val="00FE571F"/>
    <w:rsid w:val="00FF47F6"/>
    <w:rsid w:val="016E63C2"/>
    <w:rsid w:val="024B0C39"/>
    <w:rsid w:val="09157676"/>
    <w:rsid w:val="0A8128A6"/>
    <w:rsid w:val="0BF32A1B"/>
    <w:rsid w:val="0DE36157"/>
    <w:rsid w:val="10BD2C22"/>
    <w:rsid w:val="12811D2E"/>
    <w:rsid w:val="179E4950"/>
    <w:rsid w:val="1B397CEE"/>
    <w:rsid w:val="1B9B15ED"/>
    <w:rsid w:val="1C3A12D4"/>
    <w:rsid w:val="1F6BB82B"/>
    <w:rsid w:val="21C80EBD"/>
    <w:rsid w:val="22987C80"/>
    <w:rsid w:val="23675615"/>
    <w:rsid w:val="23C75005"/>
    <w:rsid w:val="24192CCC"/>
    <w:rsid w:val="25CD11C1"/>
    <w:rsid w:val="26F4679D"/>
    <w:rsid w:val="27576D2C"/>
    <w:rsid w:val="2959155B"/>
    <w:rsid w:val="295F3D2E"/>
    <w:rsid w:val="2EB61B31"/>
    <w:rsid w:val="306049AF"/>
    <w:rsid w:val="32FAD325"/>
    <w:rsid w:val="34293C66"/>
    <w:rsid w:val="368218BC"/>
    <w:rsid w:val="37611E07"/>
    <w:rsid w:val="382B0567"/>
    <w:rsid w:val="39A66CD4"/>
    <w:rsid w:val="39F36EC4"/>
    <w:rsid w:val="3C0637C5"/>
    <w:rsid w:val="3CD52CE1"/>
    <w:rsid w:val="3FEF631E"/>
    <w:rsid w:val="40F95030"/>
    <w:rsid w:val="410F2E6A"/>
    <w:rsid w:val="428471F1"/>
    <w:rsid w:val="4430136C"/>
    <w:rsid w:val="47CB2147"/>
    <w:rsid w:val="480A2418"/>
    <w:rsid w:val="4A2F3B0B"/>
    <w:rsid w:val="4AB0382B"/>
    <w:rsid w:val="4DBB4F86"/>
    <w:rsid w:val="4E676345"/>
    <w:rsid w:val="4F7DF449"/>
    <w:rsid w:val="50862704"/>
    <w:rsid w:val="50B769E4"/>
    <w:rsid w:val="50C7131D"/>
    <w:rsid w:val="56085845"/>
    <w:rsid w:val="569868B5"/>
    <w:rsid w:val="58E13A08"/>
    <w:rsid w:val="590B70B8"/>
    <w:rsid w:val="5BFEEFE2"/>
    <w:rsid w:val="6014175D"/>
    <w:rsid w:val="611F6817"/>
    <w:rsid w:val="662326FA"/>
    <w:rsid w:val="66CA1754"/>
    <w:rsid w:val="67CC5D59"/>
    <w:rsid w:val="6AA20FFC"/>
    <w:rsid w:val="6C631C5F"/>
    <w:rsid w:val="6D906FE3"/>
    <w:rsid w:val="6F1E65D4"/>
    <w:rsid w:val="6F266C86"/>
    <w:rsid w:val="6F5042C2"/>
    <w:rsid w:val="71091A4C"/>
    <w:rsid w:val="74316312"/>
    <w:rsid w:val="74B20B94"/>
    <w:rsid w:val="757220CB"/>
    <w:rsid w:val="780F13C8"/>
    <w:rsid w:val="78A07BDA"/>
    <w:rsid w:val="79DE408A"/>
    <w:rsid w:val="7C385448"/>
    <w:rsid w:val="7CB3663D"/>
    <w:rsid w:val="7D8E7309"/>
    <w:rsid w:val="7DFF6AC4"/>
    <w:rsid w:val="7E322803"/>
    <w:rsid w:val="7FD71FC6"/>
    <w:rsid w:val="7FFBA5FE"/>
    <w:rsid w:val="7FFF54F3"/>
    <w:rsid w:val="A9B74E51"/>
    <w:rsid w:val="B37BEACE"/>
    <w:rsid w:val="BDFEE184"/>
    <w:rsid w:val="BFCF9599"/>
    <w:rsid w:val="BFF6BA82"/>
    <w:rsid w:val="BFF7680F"/>
    <w:rsid w:val="D37F8434"/>
    <w:rsid w:val="D7DD595C"/>
    <w:rsid w:val="E0BE591D"/>
    <w:rsid w:val="EFBF0D5A"/>
    <w:rsid w:val="F6EE7788"/>
    <w:rsid w:val="FF4AEB43"/>
    <w:rsid w:val="FFEA8454"/>
    <w:rsid w:val="FFEF5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qFormat/>
    <w:uiPriority w:val="99"/>
    <w:pPr>
      <w:widowControl w:val="0"/>
    </w:pPr>
    <w:rPr>
      <w:rFonts w:ascii="Times New Roman" w:hAnsi="Times New Roman" w:cs="Times New Roman"/>
      <w:kern w:val="2"/>
      <w:sz w:val="21"/>
    </w:rPr>
  </w:style>
  <w:style w:type="paragraph" w:styleId="4">
    <w:name w:val="Balloon Text"/>
    <w:basedOn w:val="1"/>
    <w:link w:val="31"/>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paragraph" w:styleId="8">
    <w:name w:val="annotation subject"/>
    <w:basedOn w:val="3"/>
    <w:next w:val="3"/>
    <w:link w:val="32"/>
    <w:semiHidden/>
    <w:unhideWhenUsed/>
    <w:qFormat/>
    <w:uiPriority w:val="99"/>
    <w:pPr>
      <w:widowControl/>
    </w:pPr>
    <w:rPr>
      <w:rFonts w:ascii="宋体" w:hAnsi="宋体" w:cs="宋体"/>
      <w:b/>
      <w:bCs/>
      <w:kern w:val="0"/>
      <w:sz w:val="24"/>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FollowedHyperlink"/>
    <w:basedOn w:val="11"/>
    <w:semiHidden/>
    <w:unhideWhenUsed/>
    <w:qFormat/>
    <w:uiPriority w:val="0"/>
    <w:rPr>
      <w:color w:val="800080" w:themeColor="followedHyperlink"/>
      <w:u w:val="single"/>
      <w14:textFill>
        <w14:solidFill>
          <w14:schemeClr w14:val="folHlink"/>
        </w14:solidFill>
      </w14:textFill>
    </w:rPr>
  </w:style>
  <w:style w:type="character" w:styleId="14">
    <w:name w:val="Emphasis"/>
    <w:basedOn w:val="11"/>
    <w:qFormat/>
    <w:uiPriority w:val="20"/>
    <w:rPr>
      <w:i/>
    </w:rPr>
  </w:style>
  <w:style w:type="character" w:styleId="15">
    <w:name w:val="Hyperlink"/>
    <w:basedOn w:val="11"/>
    <w:qFormat/>
    <w:uiPriority w:val="0"/>
    <w:rPr>
      <w:color w:val="0000FF"/>
      <w:u w:val="none"/>
    </w:rPr>
  </w:style>
  <w:style w:type="character" w:styleId="16">
    <w:name w:val="annotation reference"/>
    <w:basedOn w:val="11"/>
    <w:semiHidden/>
    <w:unhideWhenUsed/>
    <w:qFormat/>
    <w:uiPriority w:val="99"/>
    <w:rPr>
      <w:sz w:val="21"/>
      <w:szCs w:val="21"/>
    </w:rPr>
  </w:style>
  <w:style w:type="character" w:customStyle="1" w:styleId="17">
    <w:name w:val="页眉字符"/>
    <w:basedOn w:val="11"/>
    <w:link w:val="6"/>
    <w:semiHidden/>
    <w:qFormat/>
    <w:uiPriority w:val="99"/>
    <w:rPr>
      <w:sz w:val="18"/>
      <w:szCs w:val="18"/>
    </w:rPr>
  </w:style>
  <w:style w:type="character" w:customStyle="1" w:styleId="18">
    <w:name w:val="页脚字符"/>
    <w:basedOn w:val="11"/>
    <w:link w:val="5"/>
    <w:semiHidden/>
    <w:qFormat/>
    <w:uiPriority w:val="99"/>
    <w:rPr>
      <w:sz w:val="18"/>
      <w:szCs w:val="18"/>
    </w:rPr>
  </w:style>
  <w:style w:type="paragraph" w:customStyle="1" w:styleId="19">
    <w:name w:val="表格标题DG"/>
    <w:basedOn w:val="1"/>
    <w:qFormat/>
    <w:uiPriority w:val="0"/>
    <w:pPr>
      <w:snapToGrid w:val="0"/>
      <w:jc w:val="center"/>
    </w:pPr>
    <w:rPr>
      <w:rFonts w:ascii="Arial" w:hAnsi="Arial" w:eastAsia="黑体"/>
      <w:bCs/>
      <w:color w:val="000000"/>
      <w:sz w:val="21"/>
      <w:szCs w:val="20"/>
    </w:rPr>
  </w:style>
  <w:style w:type="paragraph" w:customStyle="1" w:styleId="20">
    <w:name w:val="表格正文DG"/>
    <w:basedOn w:val="1"/>
    <w:qFormat/>
    <w:uiPriority w:val="0"/>
    <w:pPr>
      <w:widowControl w:val="0"/>
      <w:jc w:val="both"/>
    </w:pPr>
    <w:rPr>
      <w:rFonts w:ascii="黑体" w:hAnsi="黑体" w:eastAsia="黑体"/>
      <w:color w:val="000000"/>
    </w:rPr>
  </w:style>
  <w:style w:type="paragraph" w:styleId="21">
    <w:name w:val="List Paragraph"/>
    <w:basedOn w:val="1"/>
    <w:unhideWhenUsed/>
    <w:qFormat/>
    <w:uiPriority w:val="34"/>
    <w:pPr>
      <w:ind w:firstLine="420" w:firstLineChars="200"/>
    </w:pPr>
  </w:style>
  <w:style w:type="paragraph" w:customStyle="1" w:styleId="22">
    <w:name w:val="一级标题DG"/>
    <w:basedOn w:val="1"/>
    <w:qFormat/>
    <w:uiPriority w:val="0"/>
    <w:pPr>
      <w:spacing w:line="480" w:lineRule="auto"/>
      <w:outlineLvl w:val="0"/>
    </w:pPr>
    <w:rPr>
      <w:rFonts w:ascii="Arial" w:hAnsi="Arial" w:eastAsia="黑体"/>
      <w:sz w:val="28"/>
    </w:rPr>
  </w:style>
  <w:style w:type="paragraph" w:customStyle="1" w:styleId="23">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4">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5">
    <w:name w:val="标题 1字符"/>
    <w:basedOn w:val="11"/>
    <w:link w:val="2"/>
    <w:qFormat/>
    <w:uiPriority w:val="9"/>
    <w:rPr>
      <w:rFonts w:ascii="Calibri" w:hAnsi="Calibri" w:eastAsia="宋体" w:cs="Times New Roman"/>
      <w:b/>
      <w:bCs/>
      <w:kern w:val="44"/>
      <w:sz w:val="44"/>
      <w:szCs w:val="44"/>
    </w:rPr>
  </w:style>
  <w:style w:type="character" w:customStyle="1" w:styleId="26">
    <w:name w:val="批注文字字符"/>
    <w:basedOn w:val="11"/>
    <w:link w:val="3"/>
    <w:qFormat/>
    <w:uiPriority w:val="99"/>
    <w:rPr>
      <w:rFonts w:ascii="Times New Roman" w:hAnsi="Times New Roman" w:eastAsia="宋体" w:cs="Times New Roman"/>
      <w:kern w:val="2"/>
      <w:sz w:val="21"/>
      <w:szCs w:val="24"/>
    </w:rPr>
  </w:style>
  <w:style w:type="character" w:customStyle="1" w:styleId="27">
    <w:name w:val="editor-text-node"/>
    <w:basedOn w:val="11"/>
    <w:qFormat/>
    <w:uiPriority w:val="0"/>
  </w:style>
  <w:style w:type="character" w:styleId="28">
    <w:name w:val="Placeholder Text"/>
    <w:basedOn w:val="11"/>
    <w:unhideWhenUsed/>
    <w:qFormat/>
    <w:uiPriority w:val="99"/>
    <w:rPr>
      <w:color w:val="808080"/>
    </w:rPr>
  </w:style>
  <w:style w:type="paragraph" w:customStyle="1" w:styleId="29">
    <w:name w:val="列表段落1"/>
    <w:basedOn w:val="1"/>
    <w:qFormat/>
    <w:uiPriority w:val="34"/>
    <w:pPr>
      <w:widowControl w:val="0"/>
      <w:ind w:firstLine="420" w:firstLineChars="200"/>
      <w:jc w:val="both"/>
    </w:pPr>
    <w:rPr>
      <w:rFonts w:ascii="Times New Roman" w:hAnsi="Times New Roman" w:cs="Times New Roman"/>
      <w:kern w:val="2"/>
      <w:sz w:val="21"/>
    </w:rPr>
  </w:style>
  <w:style w:type="paragraph" w:customStyle="1" w:styleId="30">
    <w:name w:val="Table Paragraph"/>
    <w:basedOn w:val="1"/>
    <w:qFormat/>
    <w:uiPriority w:val="1"/>
    <w:pPr>
      <w:widowControl w:val="0"/>
    </w:pPr>
    <w:rPr>
      <w:rFonts w:asciiTheme="minorHAnsi" w:hAnsiTheme="minorHAnsi" w:eastAsiaTheme="minorEastAsia" w:cstheme="minorBidi"/>
      <w:sz w:val="22"/>
      <w:szCs w:val="22"/>
      <w:lang w:eastAsia="en-US"/>
    </w:rPr>
  </w:style>
  <w:style w:type="character" w:customStyle="1" w:styleId="31">
    <w:name w:val="批注框文本字符"/>
    <w:basedOn w:val="11"/>
    <w:link w:val="4"/>
    <w:semiHidden/>
    <w:qFormat/>
    <w:uiPriority w:val="99"/>
    <w:rPr>
      <w:rFonts w:ascii="宋体" w:hAnsi="宋体" w:eastAsia="宋体" w:cs="宋体"/>
      <w:sz w:val="18"/>
      <w:szCs w:val="18"/>
    </w:rPr>
  </w:style>
  <w:style w:type="character" w:customStyle="1" w:styleId="32">
    <w:name w:val="批注主题字符"/>
    <w:basedOn w:val="26"/>
    <w:link w:val="8"/>
    <w:semiHidden/>
    <w:qFormat/>
    <w:uiPriority w:val="99"/>
    <w:rPr>
      <w:rFonts w:ascii="宋体" w:hAnsi="宋体" w:eastAsia="宋体" w:cs="宋体"/>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929</Words>
  <Characters>990</Characters>
  <Lines>55</Lines>
  <Paragraphs>15</Paragraphs>
  <TotalTime>52</TotalTime>
  <ScaleCrop>false</ScaleCrop>
  <LinksUpToDate>false</LinksUpToDate>
  <CharactersWithSpaces>1315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2024-01-13T16:23:00Z</dcterms:created>
  <dc:creator>juvg</dc:creator>
  <cp:lastModifiedBy>DELL</cp:lastModifiedBy>
  <cp:lastPrinted>2025-04-10T07:12:00Z</cp:lastPrinted>
  <dcterms:modified xsi:type="dcterms:W3CDTF">2025-09-15T04:23:24Z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4DAAF923922A8289950CEC668020F3ED_43</vt:lpwstr>
  </property>
  <property fmtid="{D5CDD505-2E9C-101B-9397-08002B2CF9AE}" pid="4" name="KSOTemplateDocerSaveRecord">
    <vt:lpwstr>eyJoZGlkIjoiNzUyNGY3NTgwNjBjYmJkMTEyNmY4MDRiMDFmZDc1ZGMiLCJ1c2VySWQiOiIxNjUzOTc4Nzc4In0=</vt:lpwstr>
  </property>
</Properties>
</file>