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A5DA">
      <w:pPr>
        <w:jc w:val="center"/>
        <w:rPr>
          <w:rFonts w:ascii="黑体" w:hAnsi="黑体" w:eastAsia="黑体"/>
          <w:bCs/>
          <w:sz w:val="32"/>
          <w:szCs w:val="32"/>
        </w:rPr>
      </w:pPr>
      <w:r>
        <w:rPr>
          <w:rFonts w:hint="eastAsia" w:ascii="黑体" w:hAnsi="黑体" w:eastAsia="黑体"/>
          <w:bCs/>
          <w:sz w:val="32"/>
          <w:szCs w:val="32"/>
        </w:rPr>
        <w:t>《热工基础》本科课程教学大纲</w:t>
      </w:r>
    </w:p>
    <w:p w14:paraId="09E705DE">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41D3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4" w:hRule="atLeast"/>
        </w:trPr>
        <w:tc>
          <w:tcPr>
            <w:tcW w:w="1691" w:type="dxa"/>
            <w:vMerge w:val="restart"/>
            <w:tcBorders>
              <w:top w:val="single" w:color="auto" w:sz="12" w:space="0"/>
              <w:left w:val="single" w:color="auto" w:sz="12" w:space="0"/>
            </w:tcBorders>
            <w:shd w:val="clear" w:color="auto" w:fill="auto"/>
            <w:vAlign w:val="center"/>
          </w:tcPr>
          <w:p w14:paraId="1357603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2952D95">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热工基础</w:t>
            </w:r>
          </w:p>
        </w:tc>
      </w:tr>
      <w:tr w14:paraId="6E13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rPr>
        <w:tc>
          <w:tcPr>
            <w:tcW w:w="1691" w:type="dxa"/>
            <w:vMerge w:val="continue"/>
            <w:tcBorders>
              <w:left w:val="single" w:color="auto" w:sz="12" w:space="0"/>
            </w:tcBorders>
            <w:shd w:val="clear" w:color="auto" w:fill="auto"/>
            <w:vAlign w:val="center"/>
          </w:tcPr>
          <w:p w14:paraId="2890EF59">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90062B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F</w:t>
            </w:r>
            <w:r>
              <w:rPr>
                <w:rFonts w:ascii="Times New Roman" w:hAnsi="Times New Roman"/>
                <w:color w:val="000000" w:themeColor="text1"/>
                <w:sz w:val="21"/>
                <w:szCs w:val="21"/>
                <w14:textFill>
                  <w14:solidFill>
                    <w14:schemeClr w14:val="tx1"/>
                  </w14:solidFill>
                </w14:textFill>
              </w:rPr>
              <w:t>undamentals of Thermal Engineering</w:t>
            </w:r>
          </w:p>
        </w:tc>
      </w:tr>
      <w:tr w14:paraId="3818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 w:hRule="atLeast"/>
        </w:trPr>
        <w:tc>
          <w:tcPr>
            <w:tcW w:w="1691" w:type="dxa"/>
            <w:tcBorders>
              <w:left w:val="single" w:color="auto" w:sz="12" w:space="0"/>
            </w:tcBorders>
            <w:shd w:val="clear" w:color="auto" w:fill="auto"/>
            <w:vAlign w:val="center"/>
          </w:tcPr>
          <w:p w14:paraId="2EB487D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A47864B">
            <w:pPr>
              <w:widowControl w:val="0"/>
              <w:jc w:val="center"/>
              <w:rPr>
                <w:rFonts w:ascii="Times New Roman" w:hAnsi="Times New Roman" w:eastAsia="黑体"/>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2080243</w:t>
            </w:r>
          </w:p>
        </w:tc>
        <w:tc>
          <w:tcPr>
            <w:tcW w:w="2271" w:type="dxa"/>
            <w:gridSpan w:val="2"/>
            <w:vAlign w:val="center"/>
          </w:tcPr>
          <w:p w14:paraId="04846E2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0BD2206A">
            <w:pPr>
              <w:widowControl w:val="0"/>
              <w:jc w:val="center"/>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r>
      <w:tr w14:paraId="1315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 w:hRule="atLeast"/>
        </w:trPr>
        <w:tc>
          <w:tcPr>
            <w:tcW w:w="1691" w:type="dxa"/>
            <w:tcBorders>
              <w:left w:val="single" w:color="auto" w:sz="12" w:space="0"/>
            </w:tcBorders>
            <w:shd w:val="clear" w:color="auto" w:fill="auto"/>
            <w:vAlign w:val="center"/>
          </w:tcPr>
          <w:p w14:paraId="727D32F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7DDA3994">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14:paraId="18D8FB9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009D607F">
            <w:pPr>
              <w:widowControl w:val="0"/>
              <w:jc w:val="center"/>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68" w:type="dxa"/>
            <w:gridSpan w:val="2"/>
            <w:vAlign w:val="center"/>
          </w:tcPr>
          <w:p w14:paraId="47AE155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41D72B0">
            <w:pPr>
              <w:widowControl w:val="0"/>
              <w:jc w:val="center"/>
              <w:rPr>
                <w:color w:val="000000" w:themeColor="text1"/>
                <w:sz w:val="21"/>
                <w:szCs w:val="21"/>
                <w14:textFill>
                  <w14:solidFill>
                    <w14:schemeClr w14:val="tx1"/>
                  </w14:solidFill>
                </w14:textFill>
              </w:rPr>
            </w:pPr>
          </w:p>
        </w:tc>
      </w:tr>
      <w:tr w14:paraId="316E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 w:hRule="atLeast"/>
        </w:trPr>
        <w:tc>
          <w:tcPr>
            <w:tcW w:w="1691" w:type="dxa"/>
            <w:tcBorders>
              <w:left w:val="single" w:color="auto" w:sz="12" w:space="0"/>
            </w:tcBorders>
            <w:shd w:val="clear" w:color="auto" w:fill="auto"/>
            <w:vAlign w:val="center"/>
          </w:tcPr>
          <w:p w14:paraId="5B27A8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ED5B73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国际教育学院</w:t>
            </w:r>
          </w:p>
        </w:tc>
        <w:tc>
          <w:tcPr>
            <w:tcW w:w="2271" w:type="dxa"/>
            <w:gridSpan w:val="2"/>
            <w:vAlign w:val="center"/>
          </w:tcPr>
          <w:p w14:paraId="0C0EF65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2E9E6E1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机械设计制造及其自动化，三年级</w:t>
            </w:r>
          </w:p>
        </w:tc>
      </w:tr>
      <w:tr w14:paraId="6AD3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 w:hRule="atLeast"/>
        </w:trPr>
        <w:tc>
          <w:tcPr>
            <w:tcW w:w="1691" w:type="dxa"/>
            <w:tcBorders>
              <w:left w:val="single" w:color="auto" w:sz="12" w:space="0"/>
            </w:tcBorders>
            <w:shd w:val="clear" w:color="auto" w:fill="auto"/>
            <w:vAlign w:val="center"/>
          </w:tcPr>
          <w:p w14:paraId="04465E6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272E76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271" w:type="dxa"/>
            <w:gridSpan w:val="2"/>
            <w:vAlign w:val="center"/>
          </w:tcPr>
          <w:p w14:paraId="38A592D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07DF49A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78BF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7" w:hRule="atLeast"/>
        </w:trPr>
        <w:tc>
          <w:tcPr>
            <w:tcW w:w="1691" w:type="dxa"/>
            <w:tcBorders>
              <w:left w:val="single" w:color="auto" w:sz="12" w:space="0"/>
            </w:tcBorders>
            <w:shd w:val="clear" w:color="auto" w:fill="auto"/>
            <w:vAlign w:val="center"/>
          </w:tcPr>
          <w:p w14:paraId="4867444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5FB34E62">
            <w:pPr>
              <w:widowControl w:val="0"/>
              <w:jc w:val="both"/>
              <w:rPr>
                <w:rFonts w:ascii="Times New Roman" w:hAnsi="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热工基础与应用</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傅秦生</w:t>
            </w:r>
            <w:r>
              <w:rPr>
                <w:rFonts w:ascii="Times New Roman" w:hAnsi="Times New Roman" w:cs="Times New Roman"/>
                <w:color w:val="000000" w:themeColor="text1"/>
                <w:sz w:val="21"/>
                <w:szCs w:val="21"/>
                <w14:textFill>
                  <w14:solidFill>
                    <w14:schemeClr w14:val="tx1"/>
                  </w14:solidFill>
                </w14:textFill>
              </w:rPr>
              <w:t>、978-7-111-51539-5</w:t>
            </w:r>
            <w:r>
              <w:rPr>
                <w:rFonts w:hint="eastAsia" w:ascii="Times New Roman" w:hAnsi="Times New Roman" w:cs="Times New Roman"/>
                <w:color w:val="000000" w:themeColor="text1"/>
                <w:sz w:val="21"/>
                <w:szCs w:val="21"/>
                <w14:textFill>
                  <w14:solidFill>
                    <w14:schemeClr w14:val="tx1"/>
                  </w14:solidFill>
                </w14:textFill>
              </w:rPr>
              <w:t>、机械工业出版社</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第3版</w:t>
            </w:r>
          </w:p>
        </w:tc>
        <w:tc>
          <w:tcPr>
            <w:tcW w:w="1268" w:type="dxa"/>
            <w:gridSpan w:val="2"/>
            <w:vAlign w:val="center"/>
          </w:tcPr>
          <w:p w14:paraId="12A3996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72117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F4BC41F">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2F2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6" w:hRule="atLeast"/>
        </w:trPr>
        <w:tc>
          <w:tcPr>
            <w:tcW w:w="1691" w:type="dxa"/>
            <w:tcBorders>
              <w:left w:val="single" w:color="auto" w:sz="12" w:space="0"/>
            </w:tcBorders>
            <w:shd w:val="clear" w:color="auto" w:fill="auto"/>
            <w:vAlign w:val="center"/>
          </w:tcPr>
          <w:p w14:paraId="4BB044F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CF5CA12">
            <w:pPr>
              <w:pStyle w:val="14"/>
              <w:widowControl w:val="0"/>
              <w:jc w:val="both"/>
            </w:pPr>
            <w:r>
              <w:rPr>
                <w:rFonts w:hint="eastAsia"/>
              </w:rPr>
              <w:t xml:space="preserve">高等数学（1）理工类 </w:t>
            </w:r>
            <w:r>
              <w:t>2100013</w:t>
            </w:r>
            <w:r>
              <w:rPr>
                <w:rFonts w:hint="eastAsia"/>
              </w:rPr>
              <w:t>（6）；</w:t>
            </w:r>
          </w:p>
          <w:p w14:paraId="0DFB7478">
            <w:pPr>
              <w:pStyle w:val="14"/>
              <w:widowControl w:val="0"/>
              <w:jc w:val="both"/>
            </w:pPr>
            <w:r>
              <w:rPr>
                <w:rFonts w:hint="eastAsia"/>
              </w:rPr>
              <w:t>高等数学（2）理工类 2</w:t>
            </w:r>
            <w:r>
              <w:t>100015</w:t>
            </w:r>
            <w:r>
              <w:rPr>
                <w:rFonts w:hint="eastAsia"/>
              </w:rPr>
              <w:t>（5）。</w:t>
            </w:r>
          </w:p>
        </w:tc>
      </w:tr>
      <w:tr w14:paraId="34A5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06" w:hRule="atLeast"/>
        </w:trPr>
        <w:tc>
          <w:tcPr>
            <w:tcW w:w="1691" w:type="dxa"/>
            <w:tcBorders>
              <w:left w:val="single" w:color="auto" w:sz="12" w:space="0"/>
            </w:tcBorders>
            <w:shd w:val="clear" w:color="auto" w:fill="auto"/>
            <w:vAlign w:val="center"/>
          </w:tcPr>
          <w:p w14:paraId="1DD656B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00E0428">
            <w:pPr>
              <w:pStyle w:val="14"/>
              <w:widowControl w:val="0"/>
              <w:ind w:firstLine="420" w:firstLineChars="200"/>
              <w:jc w:val="both"/>
            </w:pPr>
            <w:r>
              <w:rPr>
                <w:rFonts w:hint="eastAsia"/>
              </w:rPr>
              <w:t>热是能量存在的主要形式之一，是大部分机械能的来源和终点，是现代社会运转的动力之源。本课程是机械类专业的一门必修课程，通过该门课程的学习，学生能够掌握工程热力学中能量转换的基本定律及热力循环，传热学中热量传递的基本规律，为今后从事与能源及动力机械相关的工作打下基础。通过学习，同学们在掌握热力学定律、工质特性、传热理论的基础上，可对各类热工设备进行分析，为解决能源动力、节能环保、保温散热、温湿度控制、材料处理等实际工程问题提供支持。</w:t>
            </w:r>
          </w:p>
        </w:tc>
      </w:tr>
      <w:tr w14:paraId="1B5A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7333F4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CC0B6BE">
            <w:pPr>
              <w:pStyle w:val="14"/>
              <w:widowControl w:val="0"/>
              <w:ind w:firstLine="420" w:firstLineChars="200"/>
              <w:jc w:val="both"/>
            </w:pPr>
            <w:r>
              <w:rPr>
                <w:rFonts w:hint="eastAsia"/>
              </w:rPr>
              <w:t>本课程适合机械设计制造及其自动化专业的学生在第三学年进行学习，要求学生提前掌握高等数学课程中的微积分知识。</w:t>
            </w:r>
          </w:p>
          <w:p w14:paraId="1A126378">
            <w:pPr>
              <w:pStyle w:val="14"/>
              <w:widowControl w:val="0"/>
              <w:ind w:firstLine="420" w:firstLineChars="200"/>
              <w:jc w:val="both"/>
            </w:pPr>
            <w:r>
              <w:rPr>
                <w:rFonts w:hint="eastAsia"/>
              </w:rPr>
              <w:t>本课程要求学生对基本概念、相关的术语和准则有全面系统的了解，要深刻理解热力学定律的实质和传热公式的性质，能灵活运用进行计算，并能对热力过程和系统作分析，具有解决问题的能力。</w:t>
            </w:r>
          </w:p>
        </w:tc>
      </w:tr>
      <w:tr w14:paraId="2C7A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0" w:hRule="atLeast"/>
        </w:trPr>
        <w:tc>
          <w:tcPr>
            <w:tcW w:w="1691" w:type="dxa"/>
            <w:tcBorders>
              <w:top w:val="double" w:color="auto" w:sz="4" w:space="0"/>
              <w:left w:val="single" w:color="auto" w:sz="12" w:space="0"/>
            </w:tcBorders>
            <w:shd w:val="clear" w:color="auto" w:fill="auto"/>
            <w:vAlign w:val="center"/>
          </w:tcPr>
          <w:p w14:paraId="217BF77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D5F346A">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耿丽萍</w:t>
            </w:r>
            <w:r>
              <w:rPr>
                <w:rFonts w:hint="eastAsia"/>
                <w:sz w:val="21"/>
                <w:szCs w:val="21"/>
              </w:rPr>
              <w:t>（签名）</w:t>
            </w:r>
          </w:p>
        </w:tc>
        <w:tc>
          <w:tcPr>
            <w:tcW w:w="1425" w:type="dxa"/>
            <w:gridSpan w:val="2"/>
            <w:tcBorders>
              <w:top w:val="double" w:color="auto" w:sz="4" w:space="0"/>
            </w:tcBorders>
            <w:vAlign w:val="center"/>
          </w:tcPr>
          <w:p w14:paraId="33D2EC6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6FFB88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r w14:paraId="0FDE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17F951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9428BC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733425" cy="295275"/>
                  <wp:effectExtent l="0" t="0" r="9525" b="9525"/>
                  <wp:docPr id="2" name="图片 2" descr="31c2321339014322a28b975f1f76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c2321339014322a28b975f1f76fdf"/>
                          <pic:cNvPicPr>
                            <a:picLocks noChangeAspect="1"/>
                          </pic:cNvPicPr>
                        </pic:nvPicPr>
                        <pic:blipFill>
                          <a:blip r:embed="rId10"/>
                          <a:stretch>
                            <a:fillRect/>
                          </a:stretch>
                        </pic:blipFill>
                        <pic:spPr>
                          <a:xfrm>
                            <a:off x="0" y="0"/>
                            <a:ext cx="733425" cy="295275"/>
                          </a:xfrm>
                          <a:prstGeom prst="rect">
                            <a:avLst/>
                          </a:prstGeom>
                        </pic:spPr>
                      </pic:pic>
                    </a:graphicData>
                  </a:graphic>
                </wp:inline>
              </w:drawing>
            </w:r>
            <w:bookmarkStart w:id="6" w:name="_GoBack"/>
            <w:bookmarkEnd w:id="6"/>
            <w:r>
              <w:rPr>
                <w:rFonts w:hint="eastAsia"/>
                <w:sz w:val="21"/>
                <w:szCs w:val="21"/>
              </w:rPr>
              <w:t>（签名）</w:t>
            </w:r>
          </w:p>
        </w:tc>
        <w:tc>
          <w:tcPr>
            <w:tcW w:w="1425" w:type="dxa"/>
            <w:gridSpan w:val="2"/>
            <w:vAlign w:val="center"/>
          </w:tcPr>
          <w:p w14:paraId="093AC6A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DB58506">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r w14:paraId="4441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2AA945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EC4E66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474CF0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22D12CE">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bl>
    <w:p w14:paraId="007C312C">
      <w:pPr>
        <w:spacing w:line="100" w:lineRule="exact"/>
        <w:rPr>
          <w:rFonts w:ascii="Arial" w:hAnsi="Arial" w:eastAsia="黑体"/>
        </w:rPr>
      </w:pPr>
      <w:r>
        <w:br w:type="page"/>
      </w:r>
    </w:p>
    <w:p w14:paraId="1654A6A7">
      <w:pPr>
        <w:pStyle w:val="16"/>
        <w:spacing w:before="326" w:beforeLines="100" w:line="360" w:lineRule="auto"/>
        <w:rPr>
          <w:rFonts w:ascii="黑体" w:hAnsi="宋体"/>
        </w:rPr>
      </w:pPr>
      <w:r>
        <w:rPr>
          <w:rFonts w:hint="eastAsia" w:ascii="黑体" w:hAnsi="宋体"/>
        </w:rPr>
        <w:t>二、课程目标与毕业要求</w:t>
      </w:r>
    </w:p>
    <w:p w14:paraId="2B7C529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637"/>
        <w:gridCol w:w="6604"/>
      </w:tblGrid>
      <w:tr w14:paraId="05266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591842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22" w:type="dxa"/>
            <w:shd w:val="clear" w:color="auto" w:fill="auto"/>
            <w:vAlign w:val="center"/>
          </w:tcPr>
          <w:p w14:paraId="4B90A5B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48" w:type="dxa"/>
            <w:vAlign w:val="center"/>
          </w:tcPr>
          <w:p w14:paraId="789A0FC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F890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2A2A5CA">
            <w:pPr>
              <w:snapToGrid w:val="0"/>
              <w:jc w:val="center"/>
            </w:pPr>
            <w:r>
              <w:rPr>
                <w:rFonts w:hint="eastAsia" w:ascii="黑体" w:hAnsi="黑体" w:eastAsia="黑体"/>
                <w:bCs/>
                <w:color w:val="000000"/>
                <w:sz w:val="21"/>
                <w:szCs w:val="18"/>
              </w:rPr>
              <w:t>知识目标</w:t>
            </w:r>
          </w:p>
        </w:tc>
        <w:tc>
          <w:tcPr>
            <w:tcW w:w="622" w:type="dxa"/>
            <w:shd w:val="clear" w:color="auto" w:fill="auto"/>
            <w:vAlign w:val="center"/>
          </w:tcPr>
          <w:p w14:paraId="4CD755B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48" w:type="dxa"/>
            <w:vAlign w:val="center"/>
          </w:tcPr>
          <w:p w14:paraId="58A9CF4D">
            <w:pPr>
              <w:pStyle w:val="14"/>
              <w:jc w:val="left"/>
              <w:rPr>
                <w:rFonts w:ascii="宋体" w:hAnsi="宋体"/>
                <w:bCs/>
              </w:rPr>
            </w:pPr>
            <w:r>
              <w:rPr>
                <w:rFonts w:hint="eastAsia" w:ascii="宋体" w:hAnsi="宋体"/>
                <w:bCs/>
              </w:rPr>
              <w:t>掌握热-功转换的基本规律；</w:t>
            </w:r>
          </w:p>
        </w:tc>
      </w:tr>
      <w:tr w14:paraId="0D4F3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3BE0ED8">
            <w:pPr>
              <w:snapToGrid w:val="0"/>
              <w:jc w:val="center"/>
              <w:rPr>
                <w:rFonts w:ascii="黑体" w:hAnsi="黑体" w:eastAsia="黑体"/>
                <w:bCs/>
                <w:color w:val="000000"/>
                <w:sz w:val="21"/>
                <w:szCs w:val="18"/>
              </w:rPr>
            </w:pPr>
          </w:p>
        </w:tc>
        <w:tc>
          <w:tcPr>
            <w:tcW w:w="622" w:type="dxa"/>
            <w:shd w:val="clear" w:color="auto" w:fill="auto"/>
            <w:vAlign w:val="center"/>
          </w:tcPr>
          <w:p w14:paraId="6B9DC2A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48" w:type="dxa"/>
            <w:vAlign w:val="center"/>
          </w:tcPr>
          <w:p w14:paraId="0C4F5157">
            <w:pPr>
              <w:pStyle w:val="14"/>
              <w:jc w:val="left"/>
              <w:rPr>
                <w:rFonts w:ascii="宋体" w:hAnsi="宋体"/>
                <w:bCs/>
              </w:rPr>
            </w:pPr>
            <w:r>
              <w:rPr>
                <w:rFonts w:hint="eastAsia" w:ascii="宋体" w:hAnsi="宋体"/>
                <w:bCs/>
              </w:rPr>
              <w:t>掌握利用工质性质公式和图表进行热力过程及循环的分析和计算方法；</w:t>
            </w:r>
          </w:p>
        </w:tc>
      </w:tr>
      <w:tr w14:paraId="6525E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92164BB">
            <w:pPr>
              <w:pStyle w:val="14"/>
              <w:rPr>
                <w:bCs/>
              </w:rPr>
            </w:pPr>
          </w:p>
        </w:tc>
        <w:tc>
          <w:tcPr>
            <w:tcW w:w="622" w:type="dxa"/>
            <w:shd w:val="clear" w:color="auto" w:fill="auto"/>
            <w:vAlign w:val="center"/>
          </w:tcPr>
          <w:p w14:paraId="52B9408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48" w:type="dxa"/>
            <w:vAlign w:val="center"/>
          </w:tcPr>
          <w:p w14:paraId="78EFAAA7">
            <w:pPr>
              <w:pStyle w:val="14"/>
              <w:jc w:val="left"/>
              <w:rPr>
                <w:rFonts w:ascii="宋体" w:hAnsi="宋体"/>
                <w:bCs/>
              </w:rPr>
            </w:pPr>
            <w:r>
              <w:rPr>
                <w:rFonts w:hint="eastAsia" w:ascii="宋体" w:hAnsi="宋体"/>
                <w:bCs/>
              </w:rPr>
              <w:t>掌握提高热力设备和系统能量利用经济性的基本原则和途径；</w:t>
            </w:r>
          </w:p>
        </w:tc>
      </w:tr>
      <w:tr w14:paraId="1CCF2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EF61064">
            <w:pPr>
              <w:pStyle w:val="14"/>
              <w:rPr>
                <w:bCs/>
              </w:rPr>
            </w:pPr>
          </w:p>
        </w:tc>
        <w:tc>
          <w:tcPr>
            <w:tcW w:w="622" w:type="dxa"/>
            <w:shd w:val="clear" w:color="auto" w:fill="auto"/>
            <w:vAlign w:val="center"/>
          </w:tcPr>
          <w:p w14:paraId="6E921783">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48" w:type="dxa"/>
            <w:vAlign w:val="center"/>
          </w:tcPr>
          <w:p w14:paraId="7EBF23E4">
            <w:pPr>
              <w:pStyle w:val="14"/>
              <w:jc w:val="left"/>
              <w:rPr>
                <w:rFonts w:ascii="宋体" w:hAnsi="宋体"/>
                <w:bCs/>
              </w:rPr>
            </w:pPr>
            <w:r>
              <w:rPr>
                <w:rFonts w:hint="eastAsia" w:ascii="宋体" w:hAnsi="宋体"/>
                <w:bCs/>
              </w:rPr>
              <w:t>掌握热传递规律，具备分析热传递特性的能力；</w:t>
            </w:r>
          </w:p>
        </w:tc>
      </w:tr>
      <w:tr w14:paraId="49ADE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24" w:hRule="atLeast"/>
          <w:jc w:val="center"/>
        </w:trPr>
        <w:tc>
          <w:tcPr>
            <w:tcW w:w="1206" w:type="dxa"/>
            <w:vAlign w:val="center"/>
          </w:tcPr>
          <w:p w14:paraId="4DD6FDEA">
            <w:pPr>
              <w:snapToGrid w:val="0"/>
              <w:jc w:val="center"/>
            </w:pPr>
            <w:r>
              <w:rPr>
                <w:rFonts w:hint="eastAsia" w:ascii="黑体" w:hAnsi="黑体" w:eastAsia="黑体"/>
                <w:bCs/>
                <w:color w:val="000000"/>
                <w:sz w:val="21"/>
                <w:szCs w:val="18"/>
              </w:rPr>
              <w:t>技能目标</w:t>
            </w:r>
          </w:p>
        </w:tc>
        <w:tc>
          <w:tcPr>
            <w:tcW w:w="622" w:type="dxa"/>
            <w:shd w:val="clear" w:color="auto" w:fill="auto"/>
            <w:vAlign w:val="center"/>
          </w:tcPr>
          <w:p w14:paraId="0A37B2C7">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48" w:type="dxa"/>
            <w:vAlign w:val="center"/>
          </w:tcPr>
          <w:p w14:paraId="1CBF71D2">
            <w:pPr>
              <w:pStyle w:val="14"/>
              <w:jc w:val="left"/>
              <w:rPr>
                <w:rFonts w:ascii="宋体" w:hAnsi="宋体"/>
                <w:bCs/>
              </w:rPr>
            </w:pPr>
            <w:r>
              <w:rPr>
                <w:rFonts w:hint="eastAsia"/>
              </w:rPr>
              <w:t>运用热力学和传热学基本定律进行演绎、推论及解决实际工程问题的能力。</w:t>
            </w:r>
          </w:p>
        </w:tc>
      </w:tr>
      <w:tr w14:paraId="17A55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2C7BF4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CD5990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22" w:type="dxa"/>
            <w:shd w:val="clear" w:color="auto" w:fill="auto"/>
            <w:vAlign w:val="center"/>
          </w:tcPr>
          <w:p w14:paraId="6C796518">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48" w:type="dxa"/>
            <w:vAlign w:val="center"/>
          </w:tcPr>
          <w:p w14:paraId="324620E9">
            <w:pPr>
              <w:pStyle w:val="14"/>
              <w:jc w:val="left"/>
              <w:rPr>
                <w:rFonts w:ascii="宋体" w:hAnsi="宋体"/>
                <w:bCs/>
              </w:rPr>
            </w:pPr>
            <w:r>
              <w:rPr>
                <w:bCs/>
              </w:rPr>
              <w:t>课程以“育人为本，德育为先”作为教育方针，培养学生</w:t>
            </w:r>
            <w:r>
              <w:rPr>
                <w:rFonts w:hint="eastAsia" w:ascii="宋体" w:hAnsi="宋体"/>
                <w:bCs/>
              </w:rPr>
              <w:t>爱国情感和科技报国的使命担当</w:t>
            </w:r>
            <w:r>
              <w:rPr>
                <w:bCs/>
              </w:rPr>
              <w:t>；从思想上激发学生的</w:t>
            </w:r>
            <w:r>
              <w:rPr>
                <w:rFonts w:hint="eastAsia"/>
                <w:bCs/>
              </w:rPr>
              <w:t>质量意识、安全意识、节约意识和创新意识；</w:t>
            </w:r>
            <w:r>
              <w:rPr>
                <w:bCs/>
              </w:rPr>
              <w:t>从专业角度</w:t>
            </w:r>
            <w:r>
              <w:rPr>
                <w:rFonts w:hint="eastAsia"/>
                <w:bCs/>
              </w:rPr>
              <w:t>培养学生</w:t>
            </w:r>
            <w:r>
              <w:rPr>
                <w:rFonts w:ascii="宋体" w:hAnsi="宋体"/>
                <w:bCs/>
              </w:rPr>
              <w:t>严谨认真的科学精神和精益求精的工匠精神</w:t>
            </w:r>
            <w:r>
              <w:rPr>
                <w:rFonts w:hint="eastAsia" w:ascii="宋体" w:hAnsi="宋体"/>
                <w:bCs/>
              </w:rPr>
              <w:t>。</w:t>
            </w:r>
          </w:p>
        </w:tc>
      </w:tr>
    </w:tbl>
    <w:p w14:paraId="674B06F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1536C7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96" w:type="dxa"/>
          </w:tcPr>
          <w:p w14:paraId="7493A967">
            <w:pPr>
              <w:pStyle w:val="14"/>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7070F915">
            <w:pPr>
              <w:pStyle w:val="14"/>
              <w:widowControl w:val="0"/>
              <w:jc w:val="left"/>
              <w:rPr>
                <w:rFonts w:cs="Times New Roman"/>
              </w:rPr>
            </w:pPr>
            <w:r>
              <w:rPr>
                <w:rFonts w:hint="eastAsia" w:cs="Times New Roman"/>
              </w:rPr>
              <w:t>④</w:t>
            </w:r>
            <w:r>
              <w:rPr>
                <w:rFonts w:cs="Times New Roman"/>
              </w:rPr>
              <w:t>诚信尽责，为人诚实，信守承诺，勤奋努力，精益求精，勇于担责。</w:t>
            </w:r>
          </w:p>
        </w:tc>
      </w:tr>
      <w:tr w14:paraId="2FD84BD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96" w:type="dxa"/>
          </w:tcPr>
          <w:p w14:paraId="4D78587A">
            <w:pPr>
              <w:pStyle w:val="14"/>
              <w:widowControl w:val="0"/>
              <w:jc w:val="left"/>
              <w:rPr>
                <w:rFonts w:cs="Times New Roman"/>
              </w:rPr>
            </w:pPr>
            <w:r>
              <w:rPr>
                <w:rFonts w:cs="Times New Roman"/>
              </w:rPr>
              <w:t>LO2专业能力：具有人文科学素养，具备从事</w:t>
            </w:r>
            <w:r>
              <w:rPr>
                <w:rFonts w:hint="eastAsia" w:cs="Times New Roman"/>
              </w:rPr>
              <w:t>机械相关</w:t>
            </w:r>
            <w:r>
              <w:rPr>
                <w:rFonts w:cs="Times New Roman"/>
              </w:rPr>
              <w:t>工作或专业的理论知识、实践能力。</w:t>
            </w:r>
          </w:p>
          <w:p w14:paraId="542D5361">
            <w:pPr>
              <w:pStyle w:val="14"/>
              <w:widowControl w:val="0"/>
              <w:jc w:val="left"/>
              <w:rPr>
                <w:rFonts w:cs="Times New Roman"/>
              </w:rPr>
            </w:pPr>
            <w:r>
              <w:rPr>
                <w:rFonts w:hint="eastAsia" w:cs="Times New Roman"/>
              </w:rPr>
              <w:t>②机械设计能力：能够运用机械设计原理和工程知识，进行产品结构设计和优化，满足航空机械维修的特定需求。</w:t>
            </w:r>
          </w:p>
        </w:tc>
      </w:tr>
      <w:tr w14:paraId="55FA7C2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96" w:type="dxa"/>
          </w:tcPr>
          <w:p w14:paraId="627C1161">
            <w:pPr>
              <w:pStyle w:val="14"/>
              <w:widowControl w:val="0"/>
              <w:jc w:val="left"/>
              <w:rPr>
                <w:rFonts w:cs="Times New Roman"/>
              </w:rPr>
            </w:pPr>
            <w:r>
              <w:rPr>
                <w:rFonts w:cs="Times New Roman"/>
              </w:rPr>
              <w:t>LO4自主学习：能根据环境需要确定自己的学习目标，并主动地通过搜集信息、分析信息、讨论、实践、质疑、创造等方法来实现学习目标。</w:t>
            </w:r>
          </w:p>
          <w:p w14:paraId="5F8225E5">
            <w:pPr>
              <w:pStyle w:val="14"/>
              <w:widowControl w:val="0"/>
              <w:jc w:val="left"/>
              <w:rPr>
                <w:rFonts w:cs="Times New Roman"/>
              </w:rPr>
            </w:pPr>
            <w:r>
              <w:rPr>
                <w:rFonts w:hint="eastAsia" w:cs="Times New Roman"/>
              </w:rPr>
              <w:t>②能搜集、获取达到目标所需要的学习资源，实施学习计划、反思学习计划、持续改进，达到学习目标。</w:t>
            </w:r>
          </w:p>
        </w:tc>
      </w:tr>
    </w:tbl>
    <w:p w14:paraId="0063A62F">
      <w:pPr>
        <w:pStyle w:val="17"/>
        <w:spacing w:before="163" w:beforeLines="50" w:after="163"/>
      </w:pPr>
      <w:r>
        <w:rPr>
          <w:rFonts w:hint="eastAsia"/>
        </w:rPr>
        <w:t>（三）毕业要求与课程目标的关系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777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254EC7CF">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4E9B4FF8">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F742546">
            <w:pPr>
              <w:pStyle w:val="13"/>
              <w:rPr>
                <w:szCs w:val="16"/>
              </w:rPr>
            </w:pPr>
            <w:r>
              <w:rPr>
                <w:rFonts w:hint="eastAsia"/>
                <w:szCs w:val="16"/>
              </w:rPr>
              <w:t>支撑度</w:t>
            </w:r>
          </w:p>
        </w:tc>
        <w:tc>
          <w:tcPr>
            <w:tcW w:w="4651" w:type="dxa"/>
            <w:tcBorders>
              <w:top w:val="single" w:color="auto" w:sz="12" w:space="0"/>
            </w:tcBorders>
            <w:vAlign w:val="center"/>
          </w:tcPr>
          <w:p w14:paraId="5D204D9E">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300E9E38">
            <w:pPr>
              <w:pStyle w:val="13"/>
              <w:rPr>
                <w:szCs w:val="16"/>
              </w:rPr>
            </w:pPr>
            <w:r>
              <w:rPr>
                <w:rFonts w:hint="eastAsia"/>
                <w:szCs w:val="16"/>
              </w:rPr>
              <w:t>对指标点的贡献度</w:t>
            </w:r>
          </w:p>
        </w:tc>
      </w:tr>
      <w:tr w14:paraId="50AD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3FB30FB">
            <w:pPr>
              <w:pStyle w:val="14"/>
              <w:rPr>
                <w:rFonts w:cs="Times New Roman"/>
                <w:b/>
              </w:rPr>
            </w:pPr>
            <w:r>
              <w:rPr>
                <w:rFonts w:cs="Times New Roman"/>
                <w:b/>
              </w:rPr>
              <w:t>LO1</w:t>
            </w:r>
          </w:p>
        </w:tc>
        <w:tc>
          <w:tcPr>
            <w:tcW w:w="775" w:type="dxa"/>
            <w:tcBorders>
              <w:left w:val="single" w:color="auto" w:sz="4" w:space="0"/>
            </w:tcBorders>
            <w:vAlign w:val="center"/>
          </w:tcPr>
          <w:p w14:paraId="4A6CD26B">
            <w:pPr>
              <w:pStyle w:val="14"/>
              <w:rPr>
                <w:rFonts w:cs="Times New Roman"/>
                <w:bCs/>
              </w:rPr>
            </w:pPr>
            <w:r>
              <w:rPr>
                <w:rFonts w:hint="eastAsia" w:ascii="Cambria Math" w:hAnsi="Cambria Math" w:cs="Cambria Math"/>
                <w:bCs/>
              </w:rPr>
              <w:t>④</w:t>
            </w:r>
          </w:p>
        </w:tc>
        <w:tc>
          <w:tcPr>
            <w:tcW w:w="775" w:type="dxa"/>
            <w:tcBorders>
              <w:right w:val="double" w:color="auto" w:sz="4" w:space="0"/>
            </w:tcBorders>
            <w:shd w:val="clear" w:color="auto" w:fill="auto"/>
            <w:vAlign w:val="center"/>
          </w:tcPr>
          <w:p w14:paraId="65FAADDC">
            <w:pPr>
              <w:pStyle w:val="14"/>
              <w:rPr>
                <w:rFonts w:cs="Times New Roman"/>
              </w:rPr>
            </w:pPr>
            <w:r>
              <w:rPr>
                <w:rFonts w:cs="Times New Roman"/>
              </w:rPr>
              <w:t>M</w:t>
            </w:r>
          </w:p>
        </w:tc>
        <w:tc>
          <w:tcPr>
            <w:tcW w:w="4651" w:type="dxa"/>
            <w:vAlign w:val="center"/>
          </w:tcPr>
          <w:p w14:paraId="4149CC75">
            <w:pPr>
              <w:pStyle w:val="14"/>
              <w:jc w:val="left"/>
              <w:rPr>
                <w:rFonts w:cs="Times New Roman"/>
              </w:rPr>
            </w:pPr>
            <w:r>
              <w:rPr>
                <w:rFonts w:hint="eastAsia"/>
                <w:bCs/>
              </w:rPr>
              <w:t>6</w:t>
            </w:r>
            <w:r>
              <w:rPr>
                <w:bCs/>
              </w:rPr>
              <w:t>.课程以“育人为本，德育为先”作为教育方针，培养学生</w:t>
            </w:r>
            <w:r>
              <w:rPr>
                <w:rFonts w:hint="eastAsia" w:ascii="宋体" w:hAnsi="宋体"/>
                <w:bCs/>
              </w:rPr>
              <w:t>爱国情感和科技报国的使命担当</w:t>
            </w:r>
            <w:r>
              <w:rPr>
                <w:bCs/>
              </w:rPr>
              <w:t>；从思想上激发学生的</w:t>
            </w:r>
            <w:r>
              <w:rPr>
                <w:rFonts w:hint="eastAsia"/>
                <w:bCs/>
              </w:rPr>
              <w:t>质量意识、安全意识、节约意识和创新意识；</w:t>
            </w:r>
            <w:r>
              <w:rPr>
                <w:bCs/>
              </w:rPr>
              <w:t>从专业角度</w:t>
            </w:r>
            <w:r>
              <w:rPr>
                <w:rFonts w:hint="eastAsia"/>
                <w:bCs/>
              </w:rPr>
              <w:t>培养学生</w:t>
            </w:r>
            <w:r>
              <w:rPr>
                <w:rFonts w:ascii="宋体" w:hAnsi="宋体"/>
                <w:bCs/>
              </w:rPr>
              <w:t>严谨认真的科学精神和精益求精的工匠精神</w:t>
            </w:r>
            <w:r>
              <w:rPr>
                <w:rFonts w:hint="eastAsia" w:ascii="宋体" w:hAnsi="宋体"/>
                <w:bCs/>
              </w:rPr>
              <w:t>。</w:t>
            </w:r>
          </w:p>
        </w:tc>
        <w:tc>
          <w:tcPr>
            <w:tcW w:w="1316" w:type="dxa"/>
            <w:tcBorders>
              <w:right w:val="single" w:color="auto" w:sz="12" w:space="0"/>
            </w:tcBorders>
            <w:vAlign w:val="center"/>
          </w:tcPr>
          <w:p w14:paraId="56B5AB28">
            <w:pPr>
              <w:pStyle w:val="14"/>
              <w:rPr>
                <w:rFonts w:ascii="宋体" w:hAnsi="宋体"/>
                <w:bCs/>
              </w:rPr>
            </w:pPr>
            <w:r>
              <w:rPr>
                <w:rFonts w:ascii="宋体" w:hAnsi="宋体"/>
                <w:bCs/>
              </w:rPr>
              <w:t>100%</w:t>
            </w:r>
          </w:p>
        </w:tc>
      </w:tr>
      <w:tr w14:paraId="5564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324C069">
            <w:pPr>
              <w:pStyle w:val="14"/>
              <w:rPr>
                <w:rFonts w:cs="Times New Roman"/>
                <w:b/>
              </w:rPr>
            </w:pPr>
            <w:r>
              <w:rPr>
                <w:rFonts w:cs="Times New Roman"/>
                <w:b/>
              </w:rPr>
              <w:t>LO2</w:t>
            </w:r>
          </w:p>
        </w:tc>
        <w:tc>
          <w:tcPr>
            <w:tcW w:w="775" w:type="dxa"/>
            <w:vMerge w:val="restart"/>
            <w:tcBorders>
              <w:left w:val="single" w:color="auto" w:sz="4" w:space="0"/>
            </w:tcBorders>
            <w:vAlign w:val="center"/>
          </w:tcPr>
          <w:p w14:paraId="2B958CF4">
            <w:pPr>
              <w:pStyle w:val="14"/>
              <w:rPr>
                <w:rFonts w:cs="Times New Roman"/>
                <w:bCs/>
              </w:rPr>
            </w:pPr>
            <w:r>
              <w:rPr>
                <w:rFonts w:hint="eastAsia" w:ascii="Cambria Math" w:hAnsi="Cambria Math" w:cs="Cambria Math"/>
                <w:bCs/>
              </w:rPr>
              <w:t>②</w:t>
            </w:r>
          </w:p>
        </w:tc>
        <w:tc>
          <w:tcPr>
            <w:tcW w:w="775" w:type="dxa"/>
            <w:vMerge w:val="restart"/>
            <w:tcBorders>
              <w:right w:val="double" w:color="auto" w:sz="4" w:space="0"/>
            </w:tcBorders>
            <w:shd w:val="clear" w:color="auto" w:fill="auto"/>
            <w:vAlign w:val="center"/>
          </w:tcPr>
          <w:p w14:paraId="74A6B282">
            <w:pPr>
              <w:pStyle w:val="14"/>
              <w:rPr>
                <w:rFonts w:cs="Times New Roman"/>
              </w:rPr>
            </w:pPr>
            <w:r>
              <w:rPr>
                <w:rFonts w:cs="Times New Roman"/>
              </w:rPr>
              <w:t>H</w:t>
            </w:r>
          </w:p>
        </w:tc>
        <w:tc>
          <w:tcPr>
            <w:tcW w:w="4651" w:type="dxa"/>
            <w:vAlign w:val="center"/>
          </w:tcPr>
          <w:p w14:paraId="666C8C49">
            <w:pPr>
              <w:pStyle w:val="14"/>
              <w:jc w:val="left"/>
              <w:rPr>
                <w:rFonts w:cs="Times New Roman"/>
              </w:rPr>
            </w:pPr>
            <w:r>
              <w:rPr>
                <w:rFonts w:hint="eastAsia" w:cs="Times New Roman"/>
              </w:rPr>
              <w:t>1</w:t>
            </w:r>
            <w:r>
              <w:rPr>
                <w:rFonts w:cs="Times New Roman"/>
              </w:rPr>
              <w:t>.</w:t>
            </w:r>
            <w:r>
              <w:rPr>
                <w:rFonts w:hint="eastAsia" w:ascii="宋体" w:hAnsi="宋体"/>
                <w:bCs/>
              </w:rPr>
              <w:t>掌握热-功转换的基本规律；</w:t>
            </w:r>
          </w:p>
        </w:tc>
        <w:tc>
          <w:tcPr>
            <w:tcW w:w="1316" w:type="dxa"/>
            <w:tcBorders>
              <w:right w:val="single" w:color="auto" w:sz="12" w:space="0"/>
            </w:tcBorders>
            <w:vAlign w:val="center"/>
          </w:tcPr>
          <w:p w14:paraId="01453CB4">
            <w:pPr>
              <w:pStyle w:val="14"/>
              <w:rPr>
                <w:rFonts w:ascii="宋体" w:hAnsi="宋体"/>
                <w:bCs/>
              </w:rPr>
            </w:pPr>
            <w:r>
              <w:rPr>
                <w:rFonts w:hint="eastAsia" w:ascii="宋体" w:hAnsi="宋体"/>
                <w:bCs/>
              </w:rPr>
              <w:t>25</w:t>
            </w:r>
            <w:r>
              <w:rPr>
                <w:rFonts w:ascii="宋体" w:hAnsi="宋体"/>
                <w:bCs/>
              </w:rPr>
              <w:t>%</w:t>
            </w:r>
          </w:p>
        </w:tc>
      </w:tr>
      <w:tr w14:paraId="3D7B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22193A9">
            <w:pPr>
              <w:pStyle w:val="14"/>
              <w:rPr>
                <w:rFonts w:cs="Times New Roman"/>
              </w:rPr>
            </w:pPr>
          </w:p>
        </w:tc>
        <w:tc>
          <w:tcPr>
            <w:tcW w:w="775" w:type="dxa"/>
            <w:vMerge w:val="continue"/>
            <w:tcBorders>
              <w:left w:val="single" w:color="auto" w:sz="4" w:space="0"/>
            </w:tcBorders>
            <w:vAlign w:val="center"/>
          </w:tcPr>
          <w:p w14:paraId="0A1AFA4F">
            <w:pPr>
              <w:pStyle w:val="14"/>
              <w:rPr>
                <w:rFonts w:cs="Times New Roman"/>
                <w:bCs/>
              </w:rPr>
            </w:pPr>
          </w:p>
        </w:tc>
        <w:tc>
          <w:tcPr>
            <w:tcW w:w="775" w:type="dxa"/>
            <w:vMerge w:val="continue"/>
            <w:tcBorders>
              <w:right w:val="double" w:color="auto" w:sz="4" w:space="0"/>
            </w:tcBorders>
            <w:shd w:val="clear" w:color="auto" w:fill="auto"/>
            <w:vAlign w:val="center"/>
          </w:tcPr>
          <w:p w14:paraId="116F47E0">
            <w:pPr>
              <w:pStyle w:val="14"/>
              <w:rPr>
                <w:rFonts w:cs="Times New Roman"/>
              </w:rPr>
            </w:pPr>
          </w:p>
        </w:tc>
        <w:tc>
          <w:tcPr>
            <w:tcW w:w="4651" w:type="dxa"/>
            <w:vAlign w:val="center"/>
          </w:tcPr>
          <w:p w14:paraId="79D55723">
            <w:pPr>
              <w:pStyle w:val="14"/>
              <w:jc w:val="left"/>
              <w:rPr>
                <w:rFonts w:cs="Times New Roman"/>
              </w:rPr>
            </w:pPr>
            <w:r>
              <w:rPr>
                <w:rFonts w:hint="eastAsia" w:cs="Times New Roman"/>
              </w:rPr>
              <w:t>2</w:t>
            </w:r>
            <w:r>
              <w:rPr>
                <w:rFonts w:cs="Times New Roman"/>
              </w:rPr>
              <w:t>.</w:t>
            </w:r>
            <w:r>
              <w:rPr>
                <w:rFonts w:hint="eastAsia" w:ascii="宋体" w:hAnsi="宋体"/>
                <w:bCs/>
              </w:rPr>
              <w:t>掌握利用工质性质公式和图表进行热力过程及循环的分析和计算方法；</w:t>
            </w:r>
          </w:p>
        </w:tc>
        <w:tc>
          <w:tcPr>
            <w:tcW w:w="1316" w:type="dxa"/>
            <w:tcBorders>
              <w:right w:val="single" w:color="auto" w:sz="12" w:space="0"/>
            </w:tcBorders>
            <w:vAlign w:val="center"/>
          </w:tcPr>
          <w:p w14:paraId="72ABAA33">
            <w:pPr>
              <w:pStyle w:val="14"/>
              <w:rPr>
                <w:rFonts w:ascii="宋体" w:hAnsi="宋体"/>
                <w:bCs/>
              </w:rPr>
            </w:pPr>
            <w:r>
              <w:rPr>
                <w:rFonts w:ascii="宋体" w:hAnsi="宋体"/>
                <w:bCs/>
              </w:rPr>
              <w:t>2</w:t>
            </w:r>
            <w:r>
              <w:rPr>
                <w:rFonts w:hint="eastAsia" w:ascii="宋体" w:hAnsi="宋体"/>
                <w:bCs/>
              </w:rPr>
              <w:t>5</w:t>
            </w:r>
            <w:r>
              <w:rPr>
                <w:rFonts w:ascii="宋体" w:hAnsi="宋体"/>
                <w:bCs/>
              </w:rPr>
              <w:t>%</w:t>
            </w:r>
          </w:p>
        </w:tc>
      </w:tr>
      <w:tr w14:paraId="765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EE0FF40">
            <w:pPr>
              <w:pStyle w:val="14"/>
              <w:rPr>
                <w:rFonts w:cs="Times New Roman"/>
              </w:rPr>
            </w:pPr>
          </w:p>
        </w:tc>
        <w:tc>
          <w:tcPr>
            <w:tcW w:w="775" w:type="dxa"/>
            <w:vMerge w:val="continue"/>
            <w:tcBorders>
              <w:left w:val="single" w:color="auto" w:sz="4" w:space="0"/>
            </w:tcBorders>
            <w:vAlign w:val="center"/>
          </w:tcPr>
          <w:p w14:paraId="7E0BBC83">
            <w:pPr>
              <w:pStyle w:val="14"/>
              <w:rPr>
                <w:rFonts w:cs="Times New Roman"/>
                <w:bCs/>
              </w:rPr>
            </w:pPr>
          </w:p>
        </w:tc>
        <w:tc>
          <w:tcPr>
            <w:tcW w:w="775" w:type="dxa"/>
            <w:vMerge w:val="continue"/>
            <w:tcBorders>
              <w:right w:val="double" w:color="auto" w:sz="4" w:space="0"/>
            </w:tcBorders>
            <w:shd w:val="clear" w:color="auto" w:fill="auto"/>
            <w:vAlign w:val="center"/>
          </w:tcPr>
          <w:p w14:paraId="05E2456F">
            <w:pPr>
              <w:pStyle w:val="14"/>
              <w:rPr>
                <w:rFonts w:cs="Times New Roman"/>
              </w:rPr>
            </w:pPr>
          </w:p>
        </w:tc>
        <w:tc>
          <w:tcPr>
            <w:tcW w:w="4651" w:type="dxa"/>
            <w:vAlign w:val="center"/>
          </w:tcPr>
          <w:p w14:paraId="7443E679">
            <w:pPr>
              <w:pStyle w:val="14"/>
              <w:jc w:val="left"/>
              <w:rPr>
                <w:rFonts w:cs="Times New Roman"/>
              </w:rPr>
            </w:pPr>
            <w:r>
              <w:rPr>
                <w:rFonts w:hint="eastAsia" w:cs="Times New Roman"/>
              </w:rPr>
              <w:t>3</w:t>
            </w:r>
            <w:r>
              <w:rPr>
                <w:rFonts w:cs="Times New Roman"/>
              </w:rPr>
              <w:t>.</w:t>
            </w:r>
            <w:r>
              <w:rPr>
                <w:rFonts w:hint="eastAsia" w:ascii="宋体" w:hAnsi="宋体"/>
                <w:bCs/>
              </w:rPr>
              <w:t>掌握提高热力设备和系统能量利用经济性的基本原则和途径；</w:t>
            </w:r>
          </w:p>
        </w:tc>
        <w:tc>
          <w:tcPr>
            <w:tcW w:w="1316" w:type="dxa"/>
            <w:tcBorders>
              <w:right w:val="single" w:color="auto" w:sz="12" w:space="0"/>
            </w:tcBorders>
            <w:vAlign w:val="center"/>
          </w:tcPr>
          <w:p w14:paraId="4262E015">
            <w:pPr>
              <w:pStyle w:val="14"/>
              <w:rPr>
                <w:rFonts w:ascii="宋体" w:hAnsi="宋体"/>
                <w:bCs/>
              </w:rPr>
            </w:pPr>
            <w:r>
              <w:rPr>
                <w:rFonts w:hint="eastAsia" w:ascii="宋体" w:hAnsi="宋体"/>
                <w:bCs/>
              </w:rPr>
              <w:t>25</w:t>
            </w:r>
            <w:r>
              <w:rPr>
                <w:rFonts w:ascii="宋体" w:hAnsi="宋体"/>
                <w:bCs/>
              </w:rPr>
              <w:t>%</w:t>
            </w:r>
          </w:p>
        </w:tc>
      </w:tr>
      <w:tr w14:paraId="13C3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95A3B49">
            <w:pPr>
              <w:pStyle w:val="14"/>
              <w:rPr>
                <w:rFonts w:cs="Times New Roman"/>
              </w:rPr>
            </w:pPr>
          </w:p>
        </w:tc>
        <w:tc>
          <w:tcPr>
            <w:tcW w:w="775" w:type="dxa"/>
            <w:vMerge w:val="continue"/>
            <w:tcBorders>
              <w:left w:val="single" w:color="auto" w:sz="4" w:space="0"/>
            </w:tcBorders>
            <w:vAlign w:val="center"/>
          </w:tcPr>
          <w:p w14:paraId="14163F8A">
            <w:pPr>
              <w:pStyle w:val="14"/>
              <w:rPr>
                <w:rFonts w:cs="Times New Roman"/>
                <w:bCs/>
              </w:rPr>
            </w:pPr>
          </w:p>
        </w:tc>
        <w:tc>
          <w:tcPr>
            <w:tcW w:w="775" w:type="dxa"/>
            <w:vMerge w:val="continue"/>
            <w:tcBorders>
              <w:right w:val="double" w:color="auto" w:sz="4" w:space="0"/>
            </w:tcBorders>
            <w:shd w:val="clear" w:color="auto" w:fill="auto"/>
            <w:vAlign w:val="center"/>
          </w:tcPr>
          <w:p w14:paraId="327CFFE6">
            <w:pPr>
              <w:pStyle w:val="14"/>
              <w:rPr>
                <w:rFonts w:cs="Times New Roman"/>
              </w:rPr>
            </w:pPr>
          </w:p>
        </w:tc>
        <w:tc>
          <w:tcPr>
            <w:tcW w:w="4651" w:type="dxa"/>
            <w:vAlign w:val="center"/>
          </w:tcPr>
          <w:p w14:paraId="07B39F3B">
            <w:pPr>
              <w:pStyle w:val="14"/>
              <w:jc w:val="left"/>
              <w:rPr>
                <w:rFonts w:cs="Times New Roman"/>
              </w:rPr>
            </w:pPr>
            <w:r>
              <w:t>4.</w:t>
            </w:r>
            <w:r>
              <w:rPr>
                <w:rFonts w:hint="eastAsia" w:ascii="宋体" w:hAnsi="宋体"/>
                <w:bCs/>
              </w:rPr>
              <w:t>掌握热传递规律，具备分析热传递特性的能力；</w:t>
            </w:r>
          </w:p>
        </w:tc>
        <w:tc>
          <w:tcPr>
            <w:tcW w:w="1316" w:type="dxa"/>
            <w:tcBorders>
              <w:right w:val="single" w:color="auto" w:sz="12" w:space="0"/>
            </w:tcBorders>
            <w:vAlign w:val="center"/>
          </w:tcPr>
          <w:p w14:paraId="13257E0A">
            <w:pPr>
              <w:pStyle w:val="14"/>
              <w:rPr>
                <w:rFonts w:ascii="宋体" w:hAnsi="宋体"/>
                <w:bCs/>
              </w:rPr>
            </w:pPr>
            <w:r>
              <w:rPr>
                <w:rFonts w:hint="eastAsia" w:ascii="宋体" w:hAnsi="宋体"/>
                <w:bCs/>
              </w:rPr>
              <w:t>25</w:t>
            </w:r>
            <w:r>
              <w:rPr>
                <w:rFonts w:ascii="宋体" w:hAnsi="宋体"/>
                <w:bCs/>
              </w:rPr>
              <w:t>%</w:t>
            </w:r>
          </w:p>
        </w:tc>
      </w:tr>
      <w:tr w14:paraId="3D0C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9DB0519">
            <w:pPr>
              <w:pStyle w:val="14"/>
              <w:rPr>
                <w:rFonts w:cs="Times New Roman"/>
                <w:b/>
              </w:rPr>
            </w:pPr>
            <w:r>
              <w:rPr>
                <w:rFonts w:cs="Times New Roman"/>
                <w:b/>
              </w:rPr>
              <w:t>LO6</w:t>
            </w:r>
          </w:p>
        </w:tc>
        <w:tc>
          <w:tcPr>
            <w:tcW w:w="775" w:type="dxa"/>
            <w:tcBorders>
              <w:left w:val="single" w:color="auto" w:sz="4" w:space="0"/>
            </w:tcBorders>
            <w:vAlign w:val="center"/>
          </w:tcPr>
          <w:p w14:paraId="7C6A4A06">
            <w:pPr>
              <w:pStyle w:val="14"/>
              <w:rPr>
                <w:rFonts w:cs="Times New Roman"/>
                <w:bCs/>
              </w:rPr>
            </w:pPr>
            <w:r>
              <w:rPr>
                <w:rFonts w:hint="eastAsia" w:ascii="Cambria Math" w:hAnsi="Cambria Math" w:cs="Cambria Math"/>
                <w:bCs/>
              </w:rPr>
              <w:t>②</w:t>
            </w:r>
          </w:p>
        </w:tc>
        <w:tc>
          <w:tcPr>
            <w:tcW w:w="775" w:type="dxa"/>
            <w:tcBorders>
              <w:right w:val="double" w:color="auto" w:sz="4" w:space="0"/>
            </w:tcBorders>
            <w:shd w:val="clear" w:color="auto" w:fill="auto"/>
            <w:vAlign w:val="center"/>
          </w:tcPr>
          <w:p w14:paraId="4C2B1899">
            <w:pPr>
              <w:pStyle w:val="14"/>
              <w:rPr>
                <w:rFonts w:cs="Times New Roman"/>
              </w:rPr>
            </w:pPr>
            <w:r>
              <w:rPr>
                <w:rFonts w:cs="Times New Roman"/>
              </w:rPr>
              <w:t>M</w:t>
            </w:r>
          </w:p>
        </w:tc>
        <w:tc>
          <w:tcPr>
            <w:tcW w:w="4651" w:type="dxa"/>
            <w:vAlign w:val="center"/>
          </w:tcPr>
          <w:p w14:paraId="42875EE7">
            <w:pPr>
              <w:pStyle w:val="14"/>
              <w:jc w:val="left"/>
              <w:rPr>
                <w:rFonts w:cs="Times New Roman"/>
              </w:rPr>
            </w:pPr>
            <w:r>
              <w:t>5.</w:t>
            </w:r>
            <w:r>
              <w:rPr>
                <w:rFonts w:hint="eastAsia"/>
              </w:rPr>
              <w:t>运用热力学和传热学基本定律进行演绎、推论及解决实际工程问题的能力。</w:t>
            </w:r>
          </w:p>
        </w:tc>
        <w:tc>
          <w:tcPr>
            <w:tcW w:w="1316" w:type="dxa"/>
            <w:tcBorders>
              <w:right w:val="single" w:color="auto" w:sz="12" w:space="0"/>
            </w:tcBorders>
            <w:vAlign w:val="center"/>
          </w:tcPr>
          <w:p w14:paraId="61A5A974">
            <w:pPr>
              <w:pStyle w:val="14"/>
              <w:rPr>
                <w:rFonts w:ascii="宋体" w:hAnsi="宋体"/>
                <w:bCs/>
              </w:rPr>
            </w:pPr>
            <w:r>
              <w:rPr>
                <w:rFonts w:hint="eastAsia" w:ascii="宋体" w:hAnsi="宋体"/>
                <w:bCs/>
              </w:rPr>
              <w:t>100</w:t>
            </w:r>
            <w:r>
              <w:rPr>
                <w:rFonts w:ascii="宋体" w:hAnsi="宋体"/>
                <w:bCs/>
              </w:rPr>
              <w:t>%</w:t>
            </w:r>
          </w:p>
        </w:tc>
      </w:tr>
    </w:tbl>
    <w:p w14:paraId="1CB151B4">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0EC7372">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6154F8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DE4C441">
            <w:pPr>
              <w:pStyle w:val="14"/>
              <w:widowControl w:val="0"/>
              <w:jc w:val="left"/>
              <w:rPr>
                <w:rFonts w:cs="Times New Roman"/>
              </w:rPr>
            </w:pPr>
            <w:bookmarkStart w:id="0" w:name="OLE_LINK5"/>
            <w:bookmarkStart w:id="1" w:name="OLE_LINK6"/>
            <w:r>
              <w:rPr>
                <w:rFonts w:cs="Times New Roman"/>
              </w:rPr>
              <w:t>1</w:t>
            </w:r>
            <w:r>
              <w:rPr>
                <w:rFonts w:hint="eastAsia" w:cs="Times New Roman"/>
              </w:rPr>
              <w:t>.</w:t>
            </w:r>
            <w:r>
              <w:rPr>
                <w:rFonts w:cs="Times New Roman"/>
              </w:rPr>
              <w:t xml:space="preserve"> </w:t>
            </w:r>
            <w:r>
              <w:rPr>
                <w:rFonts w:hint="eastAsia" w:cs="Times New Roman"/>
              </w:rPr>
              <w:t>热能转换的基本概念</w:t>
            </w:r>
          </w:p>
          <w:p w14:paraId="41A6BB8D">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热力系统；(</w:t>
            </w:r>
            <w:r>
              <w:rPr>
                <w:rFonts w:cs="Times New Roman"/>
              </w:rPr>
              <w:t>2)</w:t>
            </w:r>
            <w:r>
              <w:rPr>
                <w:rFonts w:hint="eastAsia" w:cs="Times New Roman"/>
              </w:rPr>
              <w:t>工质；(</w:t>
            </w:r>
            <w:r>
              <w:rPr>
                <w:rFonts w:cs="Times New Roman"/>
              </w:rPr>
              <w:t>3)</w:t>
            </w:r>
            <w:r>
              <w:rPr>
                <w:rFonts w:hint="eastAsia" w:cs="Times New Roman"/>
              </w:rPr>
              <w:t>热力状态；(</w:t>
            </w:r>
            <w:r>
              <w:rPr>
                <w:rFonts w:cs="Times New Roman"/>
              </w:rPr>
              <w:t>4)</w:t>
            </w:r>
            <w:r>
              <w:rPr>
                <w:rFonts w:hint="eastAsia" w:cs="Times New Roman"/>
              </w:rPr>
              <w:t>状态参数和基本状态参数；(</w:t>
            </w:r>
            <w:r>
              <w:rPr>
                <w:rFonts w:cs="Times New Roman"/>
              </w:rPr>
              <w:t>5)</w:t>
            </w:r>
            <w:r>
              <w:rPr>
                <w:rFonts w:hint="eastAsia" w:cs="Times New Roman"/>
              </w:rPr>
              <w:t>准平衡（准静态）过程和可逆过程；(</w:t>
            </w:r>
            <w:r>
              <w:rPr>
                <w:rFonts w:cs="Times New Roman"/>
              </w:rPr>
              <w:t>6)</w:t>
            </w:r>
            <w:r>
              <w:rPr>
                <w:rFonts w:hint="eastAsia" w:cs="Times New Roman"/>
              </w:rPr>
              <w:t>热力循环。</w:t>
            </w:r>
          </w:p>
          <w:p w14:paraId="51546048">
            <w:pPr>
              <w:pStyle w:val="14"/>
              <w:widowControl w:val="0"/>
              <w:ind w:firstLine="420" w:firstLineChars="200"/>
              <w:jc w:val="left"/>
              <w:rPr>
                <w:rFonts w:cs="仿宋"/>
              </w:rPr>
            </w:pPr>
            <w:r>
              <w:rPr>
                <w:rFonts w:hint="eastAsia" w:cs="仿宋"/>
              </w:rPr>
              <w:t>能力要求：(</w:t>
            </w:r>
            <w:r>
              <w:rPr>
                <w:rFonts w:cs="仿宋"/>
              </w:rPr>
              <w:t>1)</w:t>
            </w:r>
            <w:r>
              <w:rPr>
                <w:rFonts w:hint="eastAsia" w:cs="仿宋"/>
              </w:rPr>
              <w:t>掌握研究热能转换所涉及的基本概念和术语；(</w:t>
            </w:r>
            <w:r>
              <w:rPr>
                <w:rFonts w:cs="仿宋"/>
              </w:rPr>
              <w:t>2)</w:t>
            </w:r>
            <w:r>
              <w:rPr>
                <w:rFonts w:hint="eastAsia" w:cs="仿宋"/>
              </w:rPr>
              <w:t>掌握状态参数及可逆过程的体积变化功和热量的计算；(</w:t>
            </w:r>
            <w:r>
              <w:rPr>
                <w:rFonts w:cs="仿宋"/>
              </w:rPr>
              <w:t>3)</w:t>
            </w:r>
            <w:r>
              <w:rPr>
                <w:rFonts w:hint="eastAsia" w:cs="仿宋"/>
              </w:rPr>
              <w:t>掌握循环的分类与不同循环的热力学指标。</w:t>
            </w:r>
          </w:p>
          <w:p w14:paraId="7A3C1658">
            <w:pPr>
              <w:pStyle w:val="14"/>
              <w:widowControl w:val="0"/>
              <w:ind w:firstLine="420" w:firstLineChars="200"/>
              <w:jc w:val="left"/>
              <w:rPr>
                <w:rFonts w:cs="仿宋"/>
              </w:rPr>
            </w:pPr>
            <w:r>
              <w:rPr>
                <w:rFonts w:hint="eastAsia" w:cs="仿宋"/>
              </w:rPr>
              <w:t>教学难点：(</w:t>
            </w:r>
            <w:r>
              <w:rPr>
                <w:rFonts w:cs="仿宋"/>
              </w:rPr>
              <w:t>1)</w:t>
            </w:r>
            <w:r>
              <w:rPr>
                <w:rFonts w:hint="eastAsia" w:cs="仿宋"/>
              </w:rPr>
              <w:t>热力状态；(</w:t>
            </w:r>
            <w:r>
              <w:rPr>
                <w:rFonts w:cs="仿宋"/>
              </w:rPr>
              <w:t>2)</w:t>
            </w:r>
            <w:r>
              <w:rPr>
                <w:rFonts w:hint="eastAsia" w:cs="仿宋"/>
              </w:rPr>
              <w:t>可逆过程。</w:t>
            </w:r>
          </w:p>
        </w:tc>
      </w:tr>
      <w:tr w14:paraId="4104A2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546DB25">
            <w:pPr>
              <w:pStyle w:val="14"/>
              <w:widowControl w:val="0"/>
              <w:jc w:val="left"/>
              <w:rPr>
                <w:rFonts w:ascii="宋体" w:hAnsi="宋体"/>
                <w:bCs/>
              </w:rPr>
            </w:pPr>
            <w:r>
              <w:rPr>
                <w:rFonts w:hint="eastAsia" w:ascii="宋体" w:hAnsi="宋体"/>
                <w:bCs/>
              </w:rPr>
              <w:t>2</w:t>
            </w:r>
            <w:r>
              <w:rPr>
                <w:rFonts w:ascii="宋体" w:hAnsi="宋体"/>
                <w:bCs/>
              </w:rPr>
              <w:t xml:space="preserve">. </w:t>
            </w:r>
            <w:r>
              <w:rPr>
                <w:rFonts w:hint="eastAsia" w:ascii="宋体" w:hAnsi="宋体"/>
                <w:bCs/>
              </w:rPr>
              <w:t>热力学第一定律</w:t>
            </w:r>
          </w:p>
          <w:p w14:paraId="178C47A2">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热力学第一定律的实质；(</w:t>
            </w:r>
            <w:r>
              <w:rPr>
                <w:rFonts w:cs="Times New Roman"/>
              </w:rPr>
              <w:t>2)</w:t>
            </w:r>
            <w:r>
              <w:rPr>
                <w:rFonts w:hint="eastAsia" w:cs="Times New Roman"/>
              </w:rPr>
              <w:t>热力学第一定律的开口和闭口系统表达式；(</w:t>
            </w:r>
            <w:r>
              <w:rPr>
                <w:rFonts w:cs="Times New Roman"/>
              </w:rPr>
              <w:t>3)</w:t>
            </w:r>
            <w:r>
              <w:rPr>
                <w:rFonts w:hint="eastAsia" w:cs="Times New Roman"/>
              </w:rPr>
              <w:t>内能、热量和功等各项能量的性质和特点；(</w:t>
            </w:r>
            <w:r>
              <w:rPr>
                <w:rFonts w:cs="Times New Roman"/>
              </w:rPr>
              <w:t>4)</w:t>
            </w:r>
            <w:r>
              <w:rPr>
                <w:rFonts w:hint="eastAsia" w:cs="Times New Roman"/>
              </w:rPr>
              <w:t>焓的定义和能量方程的应用。</w:t>
            </w:r>
          </w:p>
          <w:p w14:paraId="4F681DF7">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深入理解热力学第一定律的本质；(</w:t>
            </w:r>
            <w:r>
              <w:rPr>
                <w:rFonts w:cs="Times New Roman"/>
              </w:rPr>
              <w:t>2)</w:t>
            </w:r>
            <w:r>
              <w:rPr>
                <w:rFonts w:hint="eastAsia" w:cs="Times New Roman"/>
              </w:rPr>
              <w:t>熟练掌握热力学第一定律的表达式和计算；(</w:t>
            </w:r>
            <w:r>
              <w:rPr>
                <w:rFonts w:cs="Times New Roman"/>
              </w:rPr>
              <w:t>3)</w:t>
            </w:r>
            <w:r>
              <w:rPr>
                <w:rFonts w:hint="eastAsia" w:cs="Times New Roman"/>
              </w:rPr>
              <w:t>掌握各项能量的性质和特点；(</w:t>
            </w:r>
            <w:r>
              <w:rPr>
                <w:rFonts w:cs="Times New Roman"/>
              </w:rPr>
              <w:t>4)</w:t>
            </w:r>
            <w:r>
              <w:rPr>
                <w:rFonts w:hint="eastAsia" w:cs="Times New Roman"/>
              </w:rPr>
              <w:t>掌握各类功的概念和计算；(</w:t>
            </w:r>
            <w:r>
              <w:rPr>
                <w:rFonts w:cs="Times New Roman"/>
              </w:rPr>
              <w:t>5)</w:t>
            </w:r>
            <w:r>
              <w:rPr>
                <w:rFonts w:hint="eastAsia" w:cs="Times New Roman"/>
              </w:rPr>
              <w:t>了解焓的定义和能量方程的应用。</w:t>
            </w:r>
          </w:p>
          <w:p w14:paraId="7E00D531">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1)</w:t>
            </w:r>
            <w:r>
              <w:rPr>
                <w:rFonts w:hint="eastAsia" w:cs="Times New Roman"/>
              </w:rPr>
              <w:t>焓；(</w:t>
            </w:r>
            <w:r>
              <w:rPr>
                <w:rFonts w:cs="Times New Roman"/>
              </w:rPr>
              <w:t>2)</w:t>
            </w:r>
            <w:r>
              <w:rPr>
                <w:rFonts w:hint="eastAsia" w:cs="Times New Roman"/>
              </w:rPr>
              <w:t>稳定流动系统的能量的方程。</w:t>
            </w:r>
          </w:p>
        </w:tc>
      </w:tr>
      <w:tr w14:paraId="5E5276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CAB4F64">
            <w:pPr>
              <w:pStyle w:val="14"/>
              <w:widowControl w:val="0"/>
              <w:jc w:val="left"/>
              <w:rPr>
                <w:rFonts w:cs="Times New Roman"/>
              </w:rPr>
            </w:pPr>
            <w:r>
              <w:rPr>
                <w:rFonts w:hint="eastAsia" w:cs="Times New Roman"/>
              </w:rPr>
              <w:t>3</w:t>
            </w:r>
            <w:r>
              <w:rPr>
                <w:rFonts w:cs="Times New Roman"/>
              </w:rPr>
              <w:t xml:space="preserve">. </w:t>
            </w:r>
            <w:r>
              <w:rPr>
                <w:rFonts w:hint="eastAsia" w:cs="Times New Roman"/>
              </w:rPr>
              <w:t>热力学第二定律</w:t>
            </w:r>
          </w:p>
          <w:p w14:paraId="1733A6D9">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热力学第二定律的实质和描述；(</w:t>
            </w:r>
            <w:r>
              <w:rPr>
                <w:rFonts w:cs="Times New Roman"/>
              </w:rPr>
              <w:t>2)</w:t>
            </w:r>
            <w:r>
              <w:rPr>
                <w:rFonts w:hint="eastAsia" w:cs="Times New Roman"/>
              </w:rPr>
              <w:t>卡诺循环和卡诺定理(</w:t>
            </w:r>
            <w:r>
              <w:rPr>
                <w:rFonts w:cs="Times New Roman"/>
              </w:rPr>
              <w:t>3)</w:t>
            </w:r>
            <w:r>
              <w:rPr>
                <w:rFonts w:hint="eastAsia" w:cs="Times New Roman"/>
              </w:rPr>
              <w:t>熵的概念、物理意义与推导；(</w:t>
            </w:r>
            <w:r>
              <w:rPr>
                <w:rFonts w:cs="Times New Roman"/>
              </w:rPr>
              <w:t>4)</w:t>
            </w:r>
            <w:r>
              <w:rPr>
                <w:rFonts w:hint="eastAsia" w:cs="Times New Roman"/>
              </w:rPr>
              <w:t>熵产和孤立系统熵增原理；(</w:t>
            </w:r>
            <w:r>
              <w:rPr>
                <w:rFonts w:cs="Times New Roman"/>
              </w:rPr>
              <w:t>5)</w:t>
            </w:r>
            <w:r>
              <w:rPr>
                <w:rFonts w:hint="eastAsia" w:cs="Times New Roman"/>
              </w:rPr>
              <w:t>能量的品质因素和㶲概念。</w:t>
            </w:r>
          </w:p>
          <w:p w14:paraId="253D69A4">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理解热力学第二定律的实质和不同的表达形式的本质；(</w:t>
            </w:r>
            <w:r>
              <w:rPr>
                <w:rFonts w:cs="Times New Roman"/>
              </w:rPr>
              <w:t>2)</w:t>
            </w:r>
            <w:r>
              <w:rPr>
                <w:rFonts w:hint="eastAsia" w:cs="Times New Roman"/>
              </w:rPr>
              <w:t>掌握卡诺循环和卡诺定理、熵的概念和能量耗损的计算原理、㶲的概念及计算方法；（3）理解能量的经济性，能用此原理对热力系统作分析并提出改进的途径。</w:t>
            </w:r>
          </w:p>
          <w:p w14:paraId="0F99DAD7">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1)</w:t>
            </w:r>
            <w:r>
              <w:rPr>
                <w:rFonts w:hint="eastAsia" w:cs="Times New Roman"/>
              </w:rPr>
              <w:t>卡诺循环；(</w:t>
            </w:r>
            <w:r>
              <w:rPr>
                <w:rFonts w:cs="Times New Roman"/>
              </w:rPr>
              <w:t>2)</w:t>
            </w:r>
            <w:r>
              <w:rPr>
                <w:rFonts w:hint="eastAsia" w:cs="Times New Roman"/>
              </w:rPr>
              <w:t>熵；(</w:t>
            </w:r>
            <w:r>
              <w:rPr>
                <w:rFonts w:cs="Times New Roman"/>
              </w:rPr>
              <w:t>3)</w:t>
            </w:r>
            <w:r>
              <w:rPr>
                <w:rFonts w:hint="eastAsia" w:cs="Times New Roman"/>
              </w:rPr>
              <w:t>㶲。</w:t>
            </w:r>
          </w:p>
        </w:tc>
      </w:tr>
      <w:tr w14:paraId="186F31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CF6C7FA">
            <w:pPr>
              <w:pStyle w:val="14"/>
              <w:widowControl w:val="0"/>
              <w:jc w:val="left"/>
              <w:rPr>
                <w:rFonts w:cs="Times New Roman"/>
              </w:rPr>
            </w:pPr>
            <w:r>
              <w:rPr>
                <w:rFonts w:hint="eastAsia" w:cs="Times New Roman"/>
              </w:rPr>
              <w:t>4</w:t>
            </w:r>
            <w:r>
              <w:rPr>
                <w:rFonts w:cs="Times New Roman"/>
              </w:rPr>
              <w:t xml:space="preserve">. </w:t>
            </w:r>
            <w:r>
              <w:rPr>
                <w:rFonts w:hint="eastAsia" w:cs="Times New Roman"/>
              </w:rPr>
              <w:t>理想气体的热力性质和热力过程</w:t>
            </w:r>
          </w:p>
          <w:p w14:paraId="215E4B68">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理想气体热力性质和状态参数；(</w:t>
            </w:r>
            <w:r>
              <w:rPr>
                <w:rFonts w:cs="Times New Roman"/>
              </w:rPr>
              <w:t>2)</w:t>
            </w:r>
            <w:r>
              <w:rPr>
                <w:rFonts w:hint="eastAsia" w:cs="Times New Roman"/>
              </w:rPr>
              <w:t>理想气体状态方程；(</w:t>
            </w:r>
            <w:r>
              <w:rPr>
                <w:rFonts w:cs="Times New Roman"/>
              </w:rPr>
              <w:t>3)</w:t>
            </w:r>
            <w:r>
              <w:rPr>
                <w:rFonts w:hint="eastAsia" w:cs="Times New Roman"/>
              </w:rPr>
              <w:t>理想气体基本热力过程；(</w:t>
            </w:r>
            <w:r>
              <w:rPr>
                <w:rFonts w:cs="Times New Roman"/>
              </w:rPr>
              <w:t>4)</w:t>
            </w:r>
            <w:r>
              <w:rPr>
                <w:rFonts w:hint="eastAsia" w:cs="Times New Roman"/>
              </w:rPr>
              <w:t>理想气体基本热力过程的计算；(</w:t>
            </w:r>
            <w:r>
              <w:rPr>
                <w:rFonts w:cs="Times New Roman"/>
              </w:rPr>
              <w:t>5)</w:t>
            </w:r>
            <w:r>
              <w:rPr>
                <w:rFonts w:hint="eastAsia" w:cs="Times New Roman"/>
              </w:rPr>
              <w:t>理想气体基本热力过程和状态图。</w:t>
            </w:r>
          </w:p>
          <w:p w14:paraId="4B8DF253">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正解理解掌握理想气体的热力性质和各状态参数、理想气体的状态方程、理想气体基本热力过程的特点和状态参数的关系，(</w:t>
            </w:r>
            <w:r>
              <w:rPr>
                <w:rFonts w:cs="Times New Roman"/>
              </w:rPr>
              <w:t>2)</w:t>
            </w:r>
            <w:r>
              <w:rPr>
                <w:rFonts w:hint="eastAsia" w:cs="Times New Roman"/>
              </w:rPr>
              <w:t>掌握理想气体基本热力过程的计算，能在状态图上表示理想气体的基本热力过程并进行分析。</w:t>
            </w:r>
          </w:p>
          <w:p w14:paraId="20E08550">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：理想气体的多变过程。</w:t>
            </w:r>
          </w:p>
        </w:tc>
      </w:tr>
      <w:tr w14:paraId="0E1F9B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683BCDD">
            <w:pPr>
              <w:pStyle w:val="14"/>
              <w:widowControl w:val="0"/>
              <w:jc w:val="left"/>
              <w:rPr>
                <w:rFonts w:cs="Times New Roman"/>
              </w:rPr>
            </w:pPr>
            <w:r>
              <w:rPr>
                <w:rFonts w:hint="eastAsia" w:cs="Times New Roman"/>
              </w:rPr>
              <w:t>5</w:t>
            </w:r>
            <w:r>
              <w:rPr>
                <w:rFonts w:cs="Times New Roman"/>
              </w:rPr>
              <w:t xml:space="preserve">. </w:t>
            </w:r>
            <w:r>
              <w:rPr>
                <w:rFonts w:hint="eastAsia" w:cs="Times New Roman"/>
              </w:rPr>
              <w:t>热量传递的三种基本方式</w:t>
            </w:r>
          </w:p>
          <w:p w14:paraId="61818371">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导热的基本概念和定律，导热系数的定义和数值，一般的一维稳态导热的微分方程和解；(</w:t>
            </w:r>
            <w:r>
              <w:rPr>
                <w:rFonts w:cs="Times New Roman"/>
              </w:rPr>
              <w:t>2)</w:t>
            </w:r>
            <w:r>
              <w:rPr>
                <w:rFonts w:hint="eastAsia" w:cs="Times New Roman"/>
              </w:rPr>
              <w:t>对流换热的概念、对流换热的数学描述，强化对象换热，自然对流换热；(</w:t>
            </w:r>
            <w:r>
              <w:rPr>
                <w:rFonts w:cs="Times New Roman"/>
              </w:rPr>
              <w:t>3)</w:t>
            </w:r>
            <w:r>
              <w:rPr>
                <w:rFonts w:hint="eastAsia" w:cs="Times New Roman"/>
              </w:rPr>
              <w:t>热辐射的基本概念，黑体辐射的基本定律，实际物体的吸收、反射和辐射；(</w:t>
            </w:r>
            <w:r>
              <w:rPr>
                <w:rFonts w:cs="Times New Roman"/>
              </w:rPr>
              <w:t>4)</w:t>
            </w:r>
            <w:r>
              <w:rPr>
                <w:rFonts w:hint="eastAsia" w:cs="Times New Roman"/>
              </w:rPr>
              <w:t>传热过程的分析和计算，热交换器的分析和计算，强化传热和绝热。</w:t>
            </w:r>
          </w:p>
          <w:p w14:paraId="3337795A">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深入理解热量传递的三种基本方式和特点、传热过程、热阻及计算方法；(</w:t>
            </w:r>
            <w:r>
              <w:rPr>
                <w:rFonts w:cs="Times New Roman"/>
              </w:rPr>
              <w:t>2)</w:t>
            </w:r>
            <w:r>
              <w:rPr>
                <w:rFonts w:hint="eastAsia" w:cs="Times New Roman"/>
              </w:rPr>
              <w:t>掌握导热的基本概念和定律、导热系数的定义和常用材料导热系数的数值范围；(</w:t>
            </w:r>
            <w:r>
              <w:rPr>
                <w:rFonts w:cs="Times New Roman"/>
              </w:rPr>
              <w:t>3)</w:t>
            </w:r>
            <w:r>
              <w:rPr>
                <w:rFonts w:hint="eastAsia" w:cs="Times New Roman"/>
              </w:rPr>
              <w:t>掌握对流换热的概念、对流换热的数学描述；(</w:t>
            </w:r>
            <w:r>
              <w:rPr>
                <w:rFonts w:cs="Times New Roman"/>
              </w:rPr>
              <w:t>4)</w:t>
            </w:r>
            <w:r>
              <w:rPr>
                <w:rFonts w:hint="eastAsia" w:cs="Times New Roman"/>
              </w:rPr>
              <w:t>掌握热辐射的基本概念、黑体辐射的基本定律、实际物体的吸收、反射和辐射的规律。(</w:t>
            </w:r>
            <w:r>
              <w:rPr>
                <w:rFonts w:cs="Times New Roman"/>
              </w:rPr>
              <w:t>5)</w:t>
            </w:r>
            <w:r>
              <w:rPr>
                <w:rFonts w:hint="eastAsia" w:cs="Times New Roman"/>
              </w:rPr>
              <w:t>掌握传热过程的计算和分析。</w:t>
            </w:r>
          </w:p>
          <w:p w14:paraId="210E15EC">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1)</w:t>
            </w:r>
            <w:r>
              <w:rPr>
                <w:rFonts w:hint="eastAsia" w:cs="Times New Roman"/>
              </w:rPr>
              <w:t>傅里叶导热定律；(</w:t>
            </w:r>
            <w:r>
              <w:rPr>
                <w:rFonts w:cs="Times New Roman"/>
              </w:rPr>
              <w:t>2)</w:t>
            </w:r>
            <w:r>
              <w:rPr>
                <w:rFonts w:hint="eastAsia" w:cs="Times New Roman"/>
              </w:rPr>
              <w:t>牛顿冷却定律；(</w:t>
            </w:r>
            <w:r>
              <w:rPr>
                <w:rFonts w:cs="Times New Roman"/>
              </w:rPr>
              <w:t>3)</w:t>
            </w:r>
            <w:r>
              <w:rPr>
                <w:rFonts w:hint="eastAsia" w:cs="Times New Roman"/>
              </w:rPr>
              <w:t>斯蒂芬-玻尔兹曼定律；(</w:t>
            </w:r>
            <w:r>
              <w:rPr>
                <w:rFonts w:cs="Times New Roman"/>
              </w:rPr>
              <w:t>4)</w:t>
            </w:r>
            <w:r>
              <w:rPr>
                <w:rFonts w:hint="eastAsia" w:cs="Times New Roman"/>
              </w:rPr>
              <w:t>传热过程。</w:t>
            </w:r>
          </w:p>
        </w:tc>
      </w:tr>
      <w:tr w14:paraId="3402C6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848FE57">
            <w:pPr>
              <w:pStyle w:val="14"/>
              <w:widowControl w:val="0"/>
              <w:jc w:val="left"/>
              <w:rPr>
                <w:rFonts w:cs="Times New Roman"/>
              </w:rPr>
            </w:pPr>
            <w:r>
              <w:rPr>
                <w:rFonts w:hint="eastAsia" w:cs="Times New Roman"/>
              </w:rPr>
              <w:t>6</w:t>
            </w:r>
            <w:r>
              <w:rPr>
                <w:rFonts w:cs="Times New Roman"/>
              </w:rPr>
              <w:t xml:space="preserve">. </w:t>
            </w:r>
            <w:r>
              <w:rPr>
                <w:rFonts w:hint="eastAsia" w:cs="Times New Roman"/>
              </w:rPr>
              <w:t>热工基础的应用</w:t>
            </w:r>
          </w:p>
          <w:p w14:paraId="4E13383E">
            <w:pPr>
              <w:pStyle w:val="14"/>
              <w:widowControl w:val="0"/>
              <w:ind w:firstLine="420" w:firstLineChars="200"/>
              <w:jc w:val="left"/>
              <w:rPr>
                <w:rFonts w:cs="Times New Roman"/>
              </w:rPr>
            </w:pPr>
            <w:r>
              <w:rPr>
                <w:rFonts w:hint="eastAsia" w:cs="Times New Roman"/>
              </w:rPr>
              <w:t>核心知识点：压气机、换热器、内燃机与燃气轮机，蒸汽动力装置、制冷装置，热管、燃料电池、半导体制冷。</w:t>
            </w:r>
          </w:p>
          <w:p w14:paraId="7D9D2BC8">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：了解常见热工设备的基本构造及其工作原理。</w:t>
            </w:r>
          </w:p>
          <w:p w14:paraId="5A487682">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：气体动力循环。</w:t>
            </w:r>
          </w:p>
        </w:tc>
      </w:tr>
      <w:bookmarkEnd w:id="0"/>
      <w:bookmarkEnd w:id="1"/>
    </w:tbl>
    <w:p w14:paraId="6A7B2AF5">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4077"/>
        <w:gridCol w:w="734"/>
        <w:gridCol w:w="734"/>
        <w:gridCol w:w="734"/>
        <w:gridCol w:w="734"/>
        <w:gridCol w:w="734"/>
        <w:gridCol w:w="729"/>
      </w:tblGrid>
      <w:tr w14:paraId="469C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405" w:type="pct"/>
            <w:tcBorders>
              <w:top w:val="single" w:color="auto" w:sz="12" w:space="0"/>
              <w:left w:val="single" w:color="auto" w:sz="12" w:space="0"/>
              <w:tl2br w:val="single" w:color="auto" w:sz="4" w:space="0"/>
            </w:tcBorders>
          </w:tcPr>
          <w:p w14:paraId="543B7CF8">
            <w:pPr>
              <w:pStyle w:val="13"/>
              <w:ind w:firstLine="489"/>
              <w:jc w:val="right"/>
              <w:rPr>
                <w:szCs w:val="16"/>
              </w:rPr>
            </w:pPr>
            <w:r>
              <w:rPr>
                <w:rFonts w:hint="eastAsia"/>
                <w:szCs w:val="16"/>
              </w:rPr>
              <w:t>课程目标</w:t>
            </w:r>
          </w:p>
          <w:p w14:paraId="3FF4B299">
            <w:pPr>
              <w:pStyle w:val="13"/>
              <w:ind w:right="210"/>
              <w:jc w:val="left"/>
              <w:rPr>
                <w:szCs w:val="16"/>
              </w:rPr>
            </w:pPr>
          </w:p>
          <w:p w14:paraId="029841E0">
            <w:pPr>
              <w:pStyle w:val="13"/>
              <w:ind w:right="210"/>
              <w:jc w:val="left"/>
              <w:rPr>
                <w:szCs w:val="16"/>
              </w:rPr>
            </w:pPr>
            <w:r>
              <w:rPr>
                <w:rFonts w:hint="eastAsia"/>
                <w:szCs w:val="16"/>
              </w:rPr>
              <w:t>教学单元</w:t>
            </w:r>
          </w:p>
        </w:tc>
        <w:tc>
          <w:tcPr>
            <w:tcW w:w="433" w:type="pct"/>
            <w:tcBorders>
              <w:top w:val="single" w:color="auto" w:sz="12" w:space="0"/>
            </w:tcBorders>
            <w:vAlign w:val="center"/>
          </w:tcPr>
          <w:p w14:paraId="18A69014">
            <w:pPr>
              <w:pStyle w:val="13"/>
              <w:rPr>
                <w:szCs w:val="16"/>
              </w:rPr>
            </w:pPr>
            <w:r>
              <w:rPr>
                <w:rFonts w:hint="eastAsia"/>
                <w:szCs w:val="16"/>
              </w:rPr>
              <w:t>1</w:t>
            </w:r>
          </w:p>
        </w:tc>
        <w:tc>
          <w:tcPr>
            <w:tcW w:w="433" w:type="pct"/>
            <w:tcBorders>
              <w:top w:val="single" w:color="auto" w:sz="12" w:space="0"/>
            </w:tcBorders>
            <w:vAlign w:val="center"/>
          </w:tcPr>
          <w:p w14:paraId="73561233">
            <w:pPr>
              <w:pStyle w:val="13"/>
              <w:rPr>
                <w:szCs w:val="16"/>
              </w:rPr>
            </w:pPr>
            <w:r>
              <w:rPr>
                <w:rFonts w:hint="eastAsia"/>
                <w:szCs w:val="16"/>
              </w:rPr>
              <w:t>2</w:t>
            </w:r>
          </w:p>
        </w:tc>
        <w:tc>
          <w:tcPr>
            <w:tcW w:w="433" w:type="pct"/>
            <w:tcBorders>
              <w:top w:val="single" w:color="auto" w:sz="12" w:space="0"/>
            </w:tcBorders>
            <w:vAlign w:val="center"/>
          </w:tcPr>
          <w:p w14:paraId="74128262">
            <w:pPr>
              <w:pStyle w:val="13"/>
              <w:rPr>
                <w:szCs w:val="16"/>
              </w:rPr>
            </w:pPr>
            <w:r>
              <w:rPr>
                <w:rFonts w:hint="eastAsia"/>
                <w:szCs w:val="16"/>
              </w:rPr>
              <w:t>3</w:t>
            </w:r>
          </w:p>
        </w:tc>
        <w:tc>
          <w:tcPr>
            <w:tcW w:w="433" w:type="pct"/>
            <w:tcBorders>
              <w:top w:val="single" w:color="auto" w:sz="12" w:space="0"/>
            </w:tcBorders>
            <w:vAlign w:val="center"/>
          </w:tcPr>
          <w:p w14:paraId="16FB58DA">
            <w:pPr>
              <w:pStyle w:val="13"/>
              <w:rPr>
                <w:szCs w:val="16"/>
              </w:rPr>
            </w:pPr>
            <w:r>
              <w:rPr>
                <w:rFonts w:hint="eastAsia"/>
                <w:szCs w:val="16"/>
              </w:rPr>
              <w:t>4</w:t>
            </w:r>
          </w:p>
        </w:tc>
        <w:tc>
          <w:tcPr>
            <w:tcW w:w="433" w:type="pct"/>
            <w:tcBorders>
              <w:top w:val="single" w:color="auto" w:sz="12" w:space="0"/>
            </w:tcBorders>
            <w:vAlign w:val="center"/>
          </w:tcPr>
          <w:p w14:paraId="012F490C">
            <w:pPr>
              <w:pStyle w:val="13"/>
              <w:rPr>
                <w:szCs w:val="16"/>
              </w:rPr>
            </w:pPr>
            <w:r>
              <w:rPr>
                <w:rFonts w:hint="eastAsia"/>
                <w:szCs w:val="16"/>
              </w:rPr>
              <w:t>5</w:t>
            </w:r>
          </w:p>
        </w:tc>
        <w:tc>
          <w:tcPr>
            <w:tcW w:w="433" w:type="pct"/>
            <w:tcBorders>
              <w:top w:val="single" w:color="auto" w:sz="12" w:space="0"/>
              <w:bottom w:val="single" w:color="auto" w:sz="4" w:space="0"/>
              <w:right w:val="single" w:color="auto" w:sz="4" w:space="0"/>
            </w:tcBorders>
            <w:vAlign w:val="center"/>
          </w:tcPr>
          <w:p w14:paraId="59CECF37">
            <w:pPr>
              <w:pStyle w:val="13"/>
              <w:rPr>
                <w:szCs w:val="16"/>
              </w:rPr>
            </w:pPr>
            <w:r>
              <w:rPr>
                <w:rFonts w:hint="eastAsia"/>
                <w:szCs w:val="16"/>
              </w:rPr>
              <w:t>6</w:t>
            </w:r>
          </w:p>
        </w:tc>
      </w:tr>
      <w:tr w14:paraId="2741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14:paraId="79D2D107">
            <w:pPr>
              <w:pStyle w:val="14"/>
              <w:jc w:val="both"/>
            </w:pPr>
            <w:r>
              <w:rPr>
                <w:rFonts w:hint="eastAsia"/>
              </w:rPr>
              <w:t>1</w:t>
            </w:r>
            <w:r>
              <w:t>.</w:t>
            </w:r>
            <w:r>
              <w:rPr>
                <w:rFonts w:hint="eastAsia"/>
              </w:rPr>
              <w:t>热能转换的基本概念</w:t>
            </w:r>
          </w:p>
        </w:tc>
        <w:tc>
          <w:tcPr>
            <w:tcW w:w="433" w:type="pct"/>
            <w:vAlign w:val="center"/>
          </w:tcPr>
          <w:p w14:paraId="2AD5969C">
            <w:pPr>
              <w:pStyle w:val="14"/>
            </w:pPr>
            <w:r>
              <w:rPr>
                <w:rFonts w:hint="eastAsia"/>
              </w:rPr>
              <w:t>√</w:t>
            </w:r>
          </w:p>
        </w:tc>
        <w:tc>
          <w:tcPr>
            <w:tcW w:w="433" w:type="pct"/>
            <w:vAlign w:val="center"/>
          </w:tcPr>
          <w:p w14:paraId="405F5C91">
            <w:pPr>
              <w:pStyle w:val="14"/>
            </w:pPr>
          </w:p>
        </w:tc>
        <w:tc>
          <w:tcPr>
            <w:tcW w:w="433" w:type="pct"/>
            <w:vAlign w:val="center"/>
          </w:tcPr>
          <w:p w14:paraId="789DF1D8">
            <w:pPr>
              <w:pStyle w:val="14"/>
            </w:pPr>
          </w:p>
        </w:tc>
        <w:tc>
          <w:tcPr>
            <w:tcW w:w="433" w:type="pct"/>
            <w:vAlign w:val="center"/>
          </w:tcPr>
          <w:p w14:paraId="164981C8">
            <w:pPr>
              <w:pStyle w:val="14"/>
            </w:pPr>
          </w:p>
        </w:tc>
        <w:tc>
          <w:tcPr>
            <w:tcW w:w="433" w:type="pct"/>
            <w:vAlign w:val="center"/>
          </w:tcPr>
          <w:p w14:paraId="27ECD8B0">
            <w:pPr>
              <w:pStyle w:val="14"/>
            </w:pPr>
          </w:p>
        </w:tc>
        <w:tc>
          <w:tcPr>
            <w:tcW w:w="433" w:type="pct"/>
            <w:tcBorders>
              <w:top w:val="single" w:color="auto" w:sz="4" w:space="0"/>
              <w:bottom w:val="single" w:color="auto" w:sz="4" w:space="0"/>
              <w:right w:val="single" w:color="auto" w:sz="4" w:space="0"/>
            </w:tcBorders>
            <w:vAlign w:val="center"/>
          </w:tcPr>
          <w:p w14:paraId="53F7D14B">
            <w:pPr>
              <w:pStyle w:val="14"/>
            </w:pPr>
            <w:r>
              <w:rPr>
                <w:rFonts w:hint="eastAsia"/>
              </w:rPr>
              <w:t>√</w:t>
            </w:r>
          </w:p>
        </w:tc>
      </w:tr>
      <w:tr w14:paraId="4F35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14:paraId="46108D9B">
            <w:pPr>
              <w:pStyle w:val="14"/>
              <w:jc w:val="left"/>
            </w:pPr>
            <w:r>
              <w:rPr>
                <w:rFonts w:hint="eastAsia"/>
              </w:rPr>
              <w:t>2</w:t>
            </w:r>
            <w:r>
              <w:t>.</w:t>
            </w:r>
            <w:r>
              <w:rPr>
                <w:rFonts w:hint="eastAsia"/>
              </w:rPr>
              <w:t>热力学第一定律</w:t>
            </w:r>
          </w:p>
        </w:tc>
        <w:tc>
          <w:tcPr>
            <w:tcW w:w="433" w:type="pct"/>
            <w:vAlign w:val="center"/>
          </w:tcPr>
          <w:p w14:paraId="45E0F6F0">
            <w:pPr>
              <w:pStyle w:val="14"/>
            </w:pPr>
            <w:r>
              <w:rPr>
                <w:rFonts w:hint="eastAsia"/>
              </w:rPr>
              <w:t>√</w:t>
            </w:r>
          </w:p>
        </w:tc>
        <w:tc>
          <w:tcPr>
            <w:tcW w:w="433" w:type="pct"/>
            <w:vAlign w:val="center"/>
          </w:tcPr>
          <w:p w14:paraId="1B2EB6F7">
            <w:pPr>
              <w:pStyle w:val="14"/>
            </w:pPr>
          </w:p>
        </w:tc>
        <w:tc>
          <w:tcPr>
            <w:tcW w:w="433" w:type="pct"/>
            <w:vAlign w:val="center"/>
          </w:tcPr>
          <w:p w14:paraId="4CB4B355">
            <w:pPr>
              <w:pStyle w:val="14"/>
            </w:pPr>
          </w:p>
        </w:tc>
        <w:tc>
          <w:tcPr>
            <w:tcW w:w="433" w:type="pct"/>
            <w:vAlign w:val="center"/>
          </w:tcPr>
          <w:p w14:paraId="569BD983">
            <w:pPr>
              <w:pStyle w:val="14"/>
            </w:pPr>
          </w:p>
        </w:tc>
        <w:tc>
          <w:tcPr>
            <w:tcW w:w="433" w:type="pct"/>
            <w:vAlign w:val="center"/>
          </w:tcPr>
          <w:p w14:paraId="35E96542">
            <w:pPr>
              <w:pStyle w:val="14"/>
            </w:pPr>
          </w:p>
        </w:tc>
        <w:tc>
          <w:tcPr>
            <w:tcW w:w="433" w:type="pct"/>
            <w:tcBorders>
              <w:top w:val="single" w:color="auto" w:sz="4" w:space="0"/>
              <w:bottom w:val="single" w:color="auto" w:sz="4" w:space="0"/>
              <w:right w:val="single" w:color="auto" w:sz="4" w:space="0"/>
            </w:tcBorders>
            <w:vAlign w:val="center"/>
          </w:tcPr>
          <w:p w14:paraId="6BDD8156">
            <w:pPr>
              <w:pStyle w:val="14"/>
            </w:pPr>
            <w:r>
              <w:rPr>
                <w:rFonts w:hint="eastAsia"/>
              </w:rPr>
              <w:t>√</w:t>
            </w:r>
          </w:p>
        </w:tc>
      </w:tr>
      <w:tr w14:paraId="7FD0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14:paraId="762E8B34">
            <w:pPr>
              <w:pStyle w:val="14"/>
              <w:jc w:val="left"/>
            </w:pPr>
            <w:r>
              <w:t>3.</w:t>
            </w:r>
            <w:r>
              <w:rPr>
                <w:rFonts w:hint="eastAsia"/>
              </w:rPr>
              <w:t>热力学第二定律</w:t>
            </w:r>
          </w:p>
        </w:tc>
        <w:tc>
          <w:tcPr>
            <w:tcW w:w="433" w:type="pct"/>
            <w:vAlign w:val="center"/>
          </w:tcPr>
          <w:p w14:paraId="5D941854">
            <w:pPr>
              <w:pStyle w:val="14"/>
            </w:pPr>
            <w:r>
              <w:rPr>
                <w:rFonts w:hint="eastAsia"/>
              </w:rPr>
              <w:t>√</w:t>
            </w:r>
          </w:p>
        </w:tc>
        <w:tc>
          <w:tcPr>
            <w:tcW w:w="433" w:type="pct"/>
            <w:vAlign w:val="center"/>
          </w:tcPr>
          <w:p w14:paraId="158C2CBA">
            <w:pPr>
              <w:pStyle w:val="14"/>
            </w:pPr>
            <w:r>
              <w:rPr>
                <w:rFonts w:hint="eastAsia"/>
              </w:rPr>
              <w:t>√</w:t>
            </w:r>
          </w:p>
        </w:tc>
        <w:tc>
          <w:tcPr>
            <w:tcW w:w="433" w:type="pct"/>
            <w:vAlign w:val="center"/>
          </w:tcPr>
          <w:p w14:paraId="2DD1B859">
            <w:pPr>
              <w:pStyle w:val="14"/>
            </w:pPr>
            <w:r>
              <w:rPr>
                <w:rFonts w:hint="eastAsia"/>
              </w:rPr>
              <w:t>√</w:t>
            </w:r>
          </w:p>
        </w:tc>
        <w:tc>
          <w:tcPr>
            <w:tcW w:w="433" w:type="pct"/>
            <w:vAlign w:val="center"/>
          </w:tcPr>
          <w:p w14:paraId="1CC90AD2">
            <w:pPr>
              <w:pStyle w:val="14"/>
            </w:pPr>
          </w:p>
        </w:tc>
        <w:tc>
          <w:tcPr>
            <w:tcW w:w="433" w:type="pct"/>
            <w:vAlign w:val="center"/>
          </w:tcPr>
          <w:p w14:paraId="0B7587C2">
            <w:pPr>
              <w:pStyle w:val="14"/>
            </w:pPr>
          </w:p>
        </w:tc>
        <w:tc>
          <w:tcPr>
            <w:tcW w:w="433" w:type="pct"/>
            <w:tcBorders>
              <w:top w:val="single" w:color="auto" w:sz="4" w:space="0"/>
              <w:bottom w:val="single" w:color="auto" w:sz="4" w:space="0"/>
              <w:right w:val="single" w:color="auto" w:sz="4" w:space="0"/>
            </w:tcBorders>
            <w:vAlign w:val="center"/>
          </w:tcPr>
          <w:p w14:paraId="6222E08B">
            <w:pPr>
              <w:pStyle w:val="14"/>
            </w:pPr>
            <w:r>
              <w:rPr>
                <w:rFonts w:hint="eastAsia"/>
              </w:rPr>
              <w:t>√</w:t>
            </w:r>
          </w:p>
        </w:tc>
      </w:tr>
      <w:tr w14:paraId="18D0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14:paraId="4833857D">
            <w:pPr>
              <w:pStyle w:val="14"/>
              <w:jc w:val="left"/>
            </w:pPr>
            <w:r>
              <w:rPr>
                <w:rFonts w:hint="eastAsia"/>
              </w:rPr>
              <w:t>4</w:t>
            </w:r>
            <w:r>
              <w:t>.</w:t>
            </w:r>
            <w:r>
              <w:rPr>
                <w:rFonts w:hint="eastAsia"/>
              </w:rPr>
              <w:t>理想气体的热力性质和热力过程</w:t>
            </w:r>
          </w:p>
        </w:tc>
        <w:tc>
          <w:tcPr>
            <w:tcW w:w="433" w:type="pct"/>
            <w:vAlign w:val="center"/>
          </w:tcPr>
          <w:p w14:paraId="7EFF3901">
            <w:pPr>
              <w:pStyle w:val="14"/>
            </w:pPr>
          </w:p>
        </w:tc>
        <w:tc>
          <w:tcPr>
            <w:tcW w:w="433" w:type="pct"/>
            <w:vAlign w:val="center"/>
          </w:tcPr>
          <w:p w14:paraId="612F8672">
            <w:pPr>
              <w:pStyle w:val="14"/>
            </w:pPr>
            <w:r>
              <w:rPr>
                <w:rFonts w:hint="eastAsia"/>
              </w:rPr>
              <w:t>√</w:t>
            </w:r>
          </w:p>
        </w:tc>
        <w:tc>
          <w:tcPr>
            <w:tcW w:w="433" w:type="pct"/>
            <w:vAlign w:val="center"/>
          </w:tcPr>
          <w:p w14:paraId="600956B7">
            <w:pPr>
              <w:pStyle w:val="14"/>
            </w:pPr>
            <w:r>
              <w:rPr>
                <w:rFonts w:hint="eastAsia"/>
              </w:rPr>
              <w:t>√</w:t>
            </w:r>
          </w:p>
        </w:tc>
        <w:tc>
          <w:tcPr>
            <w:tcW w:w="433" w:type="pct"/>
            <w:vAlign w:val="center"/>
          </w:tcPr>
          <w:p w14:paraId="267B87CC">
            <w:pPr>
              <w:pStyle w:val="14"/>
            </w:pPr>
          </w:p>
        </w:tc>
        <w:tc>
          <w:tcPr>
            <w:tcW w:w="433" w:type="pct"/>
            <w:vAlign w:val="center"/>
          </w:tcPr>
          <w:p w14:paraId="352518F1">
            <w:pPr>
              <w:pStyle w:val="14"/>
            </w:pPr>
          </w:p>
        </w:tc>
        <w:tc>
          <w:tcPr>
            <w:tcW w:w="433" w:type="pct"/>
            <w:tcBorders>
              <w:top w:val="single" w:color="auto" w:sz="4" w:space="0"/>
              <w:bottom w:val="single" w:color="auto" w:sz="4" w:space="0"/>
              <w:right w:val="single" w:color="auto" w:sz="4" w:space="0"/>
            </w:tcBorders>
            <w:vAlign w:val="center"/>
          </w:tcPr>
          <w:p w14:paraId="305D9CD2">
            <w:pPr>
              <w:pStyle w:val="14"/>
            </w:pPr>
            <w:r>
              <w:rPr>
                <w:rFonts w:hint="eastAsia"/>
              </w:rPr>
              <w:t>√</w:t>
            </w:r>
          </w:p>
        </w:tc>
      </w:tr>
      <w:tr w14:paraId="4485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14:paraId="387F30E2">
            <w:pPr>
              <w:pStyle w:val="14"/>
              <w:jc w:val="left"/>
            </w:pPr>
            <w:r>
              <w:rPr>
                <w:rFonts w:hint="eastAsia"/>
              </w:rPr>
              <w:t>5</w:t>
            </w:r>
            <w:r>
              <w:t>.</w:t>
            </w:r>
            <w:r>
              <w:rPr>
                <w:rFonts w:hint="eastAsia"/>
              </w:rPr>
              <w:t>热量传递的三种基本方式</w:t>
            </w:r>
          </w:p>
        </w:tc>
        <w:tc>
          <w:tcPr>
            <w:tcW w:w="433" w:type="pct"/>
            <w:vAlign w:val="center"/>
          </w:tcPr>
          <w:p w14:paraId="70958270">
            <w:pPr>
              <w:pStyle w:val="14"/>
            </w:pPr>
          </w:p>
        </w:tc>
        <w:tc>
          <w:tcPr>
            <w:tcW w:w="433" w:type="pct"/>
            <w:vAlign w:val="center"/>
          </w:tcPr>
          <w:p w14:paraId="517DC12F">
            <w:pPr>
              <w:pStyle w:val="14"/>
            </w:pPr>
          </w:p>
        </w:tc>
        <w:tc>
          <w:tcPr>
            <w:tcW w:w="433" w:type="pct"/>
            <w:vAlign w:val="center"/>
          </w:tcPr>
          <w:p w14:paraId="72303ACB">
            <w:pPr>
              <w:pStyle w:val="14"/>
            </w:pPr>
          </w:p>
        </w:tc>
        <w:tc>
          <w:tcPr>
            <w:tcW w:w="433" w:type="pct"/>
            <w:vAlign w:val="center"/>
          </w:tcPr>
          <w:p w14:paraId="58BD4242">
            <w:pPr>
              <w:pStyle w:val="14"/>
            </w:pPr>
            <w:r>
              <w:rPr>
                <w:rFonts w:hint="eastAsia"/>
              </w:rPr>
              <w:t>√</w:t>
            </w:r>
          </w:p>
        </w:tc>
        <w:tc>
          <w:tcPr>
            <w:tcW w:w="433" w:type="pct"/>
            <w:vAlign w:val="center"/>
          </w:tcPr>
          <w:p w14:paraId="25D32BC2">
            <w:pPr>
              <w:pStyle w:val="14"/>
            </w:pPr>
          </w:p>
        </w:tc>
        <w:tc>
          <w:tcPr>
            <w:tcW w:w="433" w:type="pct"/>
            <w:tcBorders>
              <w:top w:val="single" w:color="auto" w:sz="4" w:space="0"/>
              <w:bottom w:val="single" w:color="auto" w:sz="4" w:space="0"/>
              <w:right w:val="single" w:color="auto" w:sz="4" w:space="0"/>
            </w:tcBorders>
            <w:vAlign w:val="center"/>
          </w:tcPr>
          <w:p w14:paraId="512E21D0">
            <w:pPr>
              <w:pStyle w:val="14"/>
            </w:pPr>
            <w:r>
              <w:rPr>
                <w:rFonts w:hint="eastAsia"/>
              </w:rPr>
              <w:t>√</w:t>
            </w:r>
          </w:p>
        </w:tc>
      </w:tr>
      <w:tr w14:paraId="1817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14:paraId="0D10AF03">
            <w:pPr>
              <w:pStyle w:val="14"/>
              <w:jc w:val="both"/>
            </w:pPr>
            <w:r>
              <w:rPr>
                <w:rFonts w:hint="eastAsia"/>
              </w:rPr>
              <w:t>6</w:t>
            </w:r>
            <w:r>
              <w:t>.</w:t>
            </w:r>
            <w:r>
              <w:rPr>
                <w:rFonts w:hint="eastAsia"/>
              </w:rPr>
              <w:t>热工基础的应用</w:t>
            </w:r>
          </w:p>
        </w:tc>
        <w:tc>
          <w:tcPr>
            <w:tcW w:w="433" w:type="pct"/>
            <w:vAlign w:val="center"/>
          </w:tcPr>
          <w:p w14:paraId="7188A431">
            <w:pPr>
              <w:pStyle w:val="14"/>
            </w:pPr>
          </w:p>
        </w:tc>
        <w:tc>
          <w:tcPr>
            <w:tcW w:w="433" w:type="pct"/>
            <w:vAlign w:val="center"/>
          </w:tcPr>
          <w:p w14:paraId="52D3C6C9">
            <w:pPr>
              <w:pStyle w:val="14"/>
            </w:pPr>
          </w:p>
        </w:tc>
        <w:tc>
          <w:tcPr>
            <w:tcW w:w="433" w:type="pct"/>
            <w:vAlign w:val="center"/>
          </w:tcPr>
          <w:p w14:paraId="60DB387F">
            <w:pPr>
              <w:pStyle w:val="14"/>
            </w:pPr>
          </w:p>
        </w:tc>
        <w:tc>
          <w:tcPr>
            <w:tcW w:w="433" w:type="pct"/>
            <w:vAlign w:val="center"/>
          </w:tcPr>
          <w:p w14:paraId="3832119E">
            <w:pPr>
              <w:pStyle w:val="14"/>
            </w:pPr>
          </w:p>
        </w:tc>
        <w:tc>
          <w:tcPr>
            <w:tcW w:w="433" w:type="pct"/>
            <w:vAlign w:val="center"/>
          </w:tcPr>
          <w:p w14:paraId="6B9B6A78">
            <w:pPr>
              <w:pStyle w:val="14"/>
            </w:pPr>
            <w:r>
              <w:rPr>
                <w:rFonts w:hint="eastAsia"/>
              </w:rPr>
              <w:t>√</w:t>
            </w:r>
          </w:p>
        </w:tc>
        <w:tc>
          <w:tcPr>
            <w:tcW w:w="433" w:type="pct"/>
            <w:tcBorders>
              <w:top w:val="single" w:color="auto" w:sz="4" w:space="0"/>
              <w:bottom w:val="single" w:color="auto" w:sz="4" w:space="0"/>
              <w:right w:val="single" w:color="auto" w:sz="4" w:space="0"/>
            </w:tcBorders>
            <w:vAlign w:val="center"/>
          </w:tcPr>
          <w:p w14:paraId="17ACC3A2">
            <w:pPr>
              <w:pStyle w:val="14"/>
            </w:pPr>
            <w:r>
              <w:rPr>
                <w:rFonts w:hint="eastAsia"/>
              </w:rPr>
              <w:t>√</w:t>
            </w:r>
          </w:p>
        </w:tc>
      </w:tr>
    </w:tbl>
    <w:p w14:paraId="6ABACDD6">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230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5F61EBC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1D9AB04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DEF88A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63D45B0">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BEA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1C37B9EE">
            <w:pPr>
              <w:widowControl w:val="0"/>
              <w:snapToGrid w:val="0"/>
              <w:jc w:val="center"/>
              <w:rPr>
                <w:rFonts w:ascii="黑体" w:hAnsi="黑体" w:eastAsia="黑体"/>
                <w:bCs/>
                <w:sz w:val="21"/>
                <w:szCs w:val="21"/>
              </w:rPr>
            </w:pPr>
          </w:p>
        </w:tc>
        <w:tc>
          <w:tcPr>
            <w:tcW w:w="2690" w:type="dxa"/>
            <w:vMerge w:val="continue"/>
          </w:tcPr>
          <w:p w14:paraId="58E2115B">
            <w:pPr>
              <w:widowControl w:val="0"/>
              <w:snapToGrid w:val="0"/>
              <w:jc w:val="center"/>
              <w:rPr>
                <w:rFonts w:ascii="黑体" w:hAnsi="黑体" w:eastAsia="黑体"/>
                <w:bCs/>
                <w:sz w:val="21"/>
                <w:szCs w:val="21"/>
              </w:rPr>
            </w:pPr>
          </w:p>
        </w:tc>
        <w:tc>
          <w:tcPr>
            <w:tcW w:w="1697" w:type="dxa"/>
            <w:vMerge w:val="continue"/>
          </w:tcPr>
          <w:p w14:paraId="4A7DBF70">
            <w:pPr>
              <w:widowControl w:val="0"/>
              <w:snapToGrid w:val="0"/>
              <w:jc w:val="center"/>
              <w:rPr>
                <w:rFonts w:ascii="黑体" w:hAnsi="黑体" w:eastAsia="黑体"/>
                <w:bCs/>
                <w:sz w:val="21"/>
                <w:szCs w:val="21"/>
              </w:rPr>
            </w:pPr>
          </w:p>
        </w:tc>
        <w:tc>
          <w:tcPr>
            <w:tcW w:w="708" w:type="dxa"/>
            <w:vAlign w:val="center"/>
          </w:tcPr>
          <w:p w14:paraId="44D1070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7282E9AD">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B5D27E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73C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372D293">
            <w:pPr>
              <w:widowControl w:val="0"/>
              <w:snapToGrid w:val="0"/>
              <w:jc w:val="both"/>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热能转换的基本概念</w:t>
            </w:r>
          </w:p>
        </w:tc>
        <w:tc>
          <w:tcPr>
            <w:tcW w:w="2690" w:type="dxa"/>
            <w:vAlign w:val="center"/>
          </w:tcPr>
          <w:p w14:paraId="410633ED">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14:paraId="0CDECEAE">
            <w:pPr>
              <w:widowControl w:val="0"/>
              <w:snapToGrid w:val="0"/>
              <w:jc w:val="both"/>
              <w:rPr>
                <w:color w:val="000000"/>
                <w:sz w:val="21"/>
                <w:szCs w:val="21"/>
              </w:rPr>
            </w:pPr>
            <w:r>
              <w:rPr>
                <w:rFonts w:hint="eastAsia"/>
                <w:color w:val="000000"/>
                <w:sz w:val="21"/>
                <w:szCs w:val="21"/>
              </w:rPr>
              <w:t>课程作业，</w:t>
            </w:r>
          </w:p>
          <w:p w14:paraId="6F3B582F">
            <w:pPr>
              <w:widowControl w:val="0"/>
              <w:snapToGrid w:val="0"/>
              <w:jc w:val="both"/>
              <w:rPr>
                <w:color w:val="000000"/>
                <w:sz w:val="21"/>
                <w:szCs w:val="21"/>
              </w:rPr>
            </w:pPr>
            <w:r>
              <w:rPr>
                <w:rFonts w:hint="eastAsia"/>
                <w:color w:val="000000"/>
                <w:sz w:val="21"/>
                <w:szCs w:val="21"/>
              </w:rPr>
              <w:t>期末考试</w:t>
            </w:r>
          </w:p>
        </w:tc>
        <w:tc>
          <w:tcPr>
            <w:tcW w:w="708" w:type="dxa"/>
            <w:vAlign w:val="center"/>
          </w:tcPr>
          <w:p w14:paraId="1D287613">
            <w:pPr>
              <w:widowControl w:val="0"/>
              <w:snapToGrid w:val="0"/>
              <w:jc w:val="center"/>
              <w:rPr>
                <w:color w:val="000000"/>
                <w:sz w:val="21"/>
                <w:szCs w:val="21"/>
              </w:rPr>
            </w:pPr>
            <w:r>
              <w:rPr>
                <w:rFonts w:hint="eastAsia"/>
                <w:color w:val="000000"/>
                <w:sz w:val="21"/>
                <w:szCs w:val="21"/>
              </w:rPr>
              <w:t>4</w:t>
            </w:r>
          </w:p>
        </w:tc>
        <w:tc>
          <w:tcPr>
            <w:tcW w:w="653" w:type="dxa"/>
            <w:vAlign w:val="center"/>
          </w:tcPr>
          <w:p w14:paraId="6D0E7411">
            <w:pPr>
              <w:widowControl w:val="0"/>
              <w:snapToGrid w:val="0"/>
              <w:jc w:val="center"/>
              <w:rPr>
                <w:color w:val="000000"/>
                <w:sz w:val="21"/>
                <w:szCs w:val="21"/>
              </w:rPr>
            </w:pPr>
            <w:r>
              <w:rPr>
                <w:rFonts w:hint="eastAsia"/>
                <w:color w:val="000000"/>
                <w:sz w:val="21"/>
                <w:szCs w:val="21"/>
              </w:rPr>
              <w:t>-</w:t>
            </w:r>
          </w:p>
        </w:tc>
        <w:tc>
          <w:tcPr>
            <w:tcW w:w="700" w:type="dxa"/>
            <w:tcBorders>
              <w:right w:val="single" w:color="auto" w:sz="12" w:space="0"/>
            </w:tcBorders>
            <w:vAlign w:val="center"/>
          </w:tcPr>
          <w:p w14:paraId="30B0B4BD">
            <w:pPr>
              <w:widowControl w:val="0"/>
              <w:snapToGrid w:val="0"/>
              <w:jc w:val="center"/>
              <w:rPr>
                <w:color w:val="000000"/>
                <w:sz w:val="21"/>
                <w:szCs w:val="21"/>
              </w:rPr>
            </w:pPr>
            <w:r>
              <w:rPr>
                <w:rFonts w:hint="eastAsia"/>
                <w:color w:val="000000"/>
                <w:sz w:val="21"/>
                <w:szCs w:val="21"/>
              </w:rPr>
              <w:t>4</w:t>
            </w:r>
          </w:p>
        </w:tc>
      </w:tr>
      <w:tr w14:paraId="0EDC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02E9B30">
            <w:pPr>
              <w:widowControl w:val="0"/>
              <w:snapToGrid w:val="0"/>
              <w:jc w:val="both"/>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热力学第一定律</w:t>
            </w:r>
          </w:p>
        </w:tc>
        <w:tc>
          <w:tcPr>
            <w:tcW w:w="2690" w:type="dxa"/>
            <w:vAlign w:val="center"/>
          </w:tcPr>
          <w:p w14:paraId="39F38066">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14:paraId="47F4CBC1">
            <w:pPr>
              <w:widowControl w:val="0"/>
              <w:snapToGrid w:val="0"/>
              <w:jc w:val="both"/>
              <w:rPr>
                <w:color w:val="000000"/>
                <w:sz w:val="21"/>
                <w:szCs w:val="21"/>
              </w:rPr>
            </w:pPr>
            <w:r>
              <w:rPr>
                <w:rFonts w:hint="eastAsia"/>
                <w:color w:val="000000"/>
                <w:sz w:val="21"/>
                <w:szCs w:val="21"/>
              </w:rPr>
              <w:t>课程作业，</w:t>
            </w:r>
          </w:p>
          <w:p w14:paraId="640198A2">
            <w:pPr>
              <w:widowControl w:val="0"/>
              <w:snapToGrid w:val="0"/>
              <w:jc w:val="both"/>
              <w:rPr>
                <w:color w:val="000000"/>
                <w:sz w:val="21"/>
                <w:szCs w:val="21"/>
              </w:rPr>
            </w:pPr>
            <w:r>
              <w:rPr>
                <w:rFonts w:hint="eastAsia"/>
                <w:color w:val="000000"/>
                <w:sz w:val="21"/>
                <w:szCs w:val="21"/>
              </w:rPr>
              <w:t>期末考试</w:t>
            </w:r>
          </w:p>
        </w:tc>
        <w:tc>
          <w:tcPr>
            <w:tcW w:w="708" w:type="dxa"/>
            <w:vAlign w:val="center"/>
          </w:tcPr>
          <w:p w14:paraId="2724B652">
            <w:pPr>
              <w:widowControl w:val="0"/>
              <w:snapToGrid w:val="0"/>
              <w:jc w:val="center"/>
              <w:rPr>
                <w:color w:val="000000"/>
                <w:sz w:val="21"/>
                <w:szCs w:val="21"/>
              </w:rPr>
            </w:pPr>
            <w:r>
              <w:rPr>
                <w:color w:val="000000"/>
                <w:sz w:val="21"/>
                <w:szCs w:val="21"/>
              </w:rPr>
              <w:t>6</w:t>
            </w:r>
          </w:p>
        </w:tc>
        <w:tc>
          <w:tcPr>
            <w:tcW w:w="653" w:type="dxa"/>
            <w:vAlign w:val="center"/>
          </w:tcPr>
          <w:p w14:paraId="5186B542">
            <w:pPr>
              <w:widowControl w:val="0"/>
              <w:snapToGrid w:val="0"/>
              <w:jc w:val="center"/>
              <w:rPr>
                <w:color w:val="000000"/>
                <w:sz w:val="21"/>
                <w:szCs w:val="21"/>
              </w:rPr>
            </w:pPr>
            <w:r>
              <w:rPr>
                <w:color w:val="000000"/>
                <w:sz w:val="21"/>
                <w:szCs w:val="21"/>
              </w:rPr>
              <w:t>-</w:t>
            </w:r>
          </w:p>
        </w:tc>
        <w:tc>
          <w:tcPr>
            <w:tcW w:w="700" w:type="dxa"/>
            <w:tcBorders>
              <w:right w:val="single" w:color="auto" w:sz="12" w:space="0"/>
            </w:tcBorders>
            <w:vAlign w:val="center"/>
          </w:tcPr>
          <w:p w14:paraId="6B6AE8DE">
            <w:pPr>
              <w:widowControl w:val="0"/>
              <w:snapToGrid w:val="0"/>
              <w:jc w:val="center"/>
              <w:rPr>
                <w:color w:val="000000"/>
                <w:sz w:val="21"/>
                <w:szCs w:val="21"/>
              </w:rPr>
            </w:pPr>
            <w:r>
              <w:rPr>
                <w:rFonts w:hint="eastAsia"/>
                <w:color w:val="000000"/>
                <w:sz w:val="21"/>
                <w:szCs w:val="21"/>
              </w:rPr>
              <w:t>6</w:t>
            </w:r>
          </w:p>
        </w:tc>
      </w:tr>
      <w:tr w14:paraId="32B7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E3B3791">
            <w:pPr>
              <w:widowControl w:val="0"/>
              <w:snapToGrid w:val="0"/>
              <w:jc w:val="both"/>
              <w:rPr>
                <w:color w:val="000000"/>
                <w:sz w:val="21"/>
                <w:szCs w:val="21"/>
              </w:rPr>
            </w:pPr>
            <w:r>
              <w:rPr>
                <w:color w:val="000000"/>
                <w:sz w:val="21"/>
                <w:szCs w:val="21"/>
              </w:rPr>
              <w:t>3.</w:t>
            </w:r>
            <w:r>
              <w:rPr>
                <w:rFonts w:hint="eastAsia"/>
                <w:color w:val="000000"/>
                <w:sz w:val="21"/>
                <w:szCs w:val="21"/>
              </w:rPr>
              <w:t>热力学第二定律</w:t>
            </w:r>
          </w:p>
        </w:tc>
        <w:tc>
          <w:tcPr>
            <w:tcW w:w="2690" w:type="dxa"/>
            <w:vAlign w:val="center"/>
          </w:tcPr>
          <w:p w14:paraId="41459707">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14:paraId="3AE0A7D8">
            <w:pPr>
              <w:widowControl w:val="0"/>
              <w:snapToGrid w:val="0"/>
              <w:jc w:val="both"/>
              <w:rPr>
                <w:color w:val="000000"/>
                <w:sz w:val="21"/>
                <w:szCs w:val="21"/>
              </w:rPr>
            </w:pPr>
            <w:r>
              <w:rPr>
                <w:rFonts w:hint="eastAsia"/>
                <w:color w:val="000000"/>
                <w:sz w:val="21"/>
                <w:szCs w:val="21"/>
              </w:rPr>
              <w:t>课程作业，</w:t>
            </w:r>
          </w:p>
          <w:p w14:paraId="2C49F4D9">
            <w:pPr>
              <w:widowControl w:val="0"/>
              <w:snapToGrid w:val="0"/>
              <w:jc w:val="both"/>
              <w:rPr>
                <w:color w:val="000000"/>
                <w:sz w:val="21"/>
                <w:szCs w:val="21"/>
              </w:rPr>
            </w:pPr>
            <w:r>
              <w:rPr>
                <w:rFonts w:hint="eastAsia"/>
                <w:color w:val="000000"/>
                <w:sz w:val="21"/>
                <w:szCs w:val="21"/>
              </w:rPr>
              <w:t>期末考试</w:t>
            </w:r>
          </w:p>
        </w:tc>
        <w:tc>
          <w:tcPr>
            <w:tcW w:w="708" w:type="dxa"/>
            <w:vAlign w:val="center"/>
          </w:tcPr>
          <w:p w14:paraId="3D74E8AA">
            <w:pPr>
              <w:widowControl w:val="0"/>
              <w:snapToGrid w:val="0"/>
              <w:jc w:val="center"/>
              <w:rPr>
                <w:color w:val="000000"/>
                <w:sz w:val="21"/>
                <w:szCs w:val="21"/>
              </w:rPr>
            </w:pPr>
            <w:r>
              <w:rPr>
                <w:rFonts w:hint="eastAsia"/>
                <w:color w:val="000000"/>
                <w:sz w:val="21"/>
                <w:szCs w:val="21"/>
              </w:rPr>
              <w:t>6</w:t>
            </w:r>
          </w:p>
        </w:tc>
        <w:tc>
          <w:tcPr>
            <w:tcW w:w="653" w:type="dxa"/>
            <w:vAlign w:val="center"/>
          </w:tcPr>
          <w:p w14:paraId="4D325873">
            <w:pPr>
              <w:widowControl w:val="0"/>
              <w:snapToGrid w:val="0"/>
              <w:jc w:val="center"/>
              <w:rPr>
                <w:color w:val="000000"/>
                <w:sz w:val="21"/>
                <w:szCs w:val="21"/>
              </w:rPr>
            </w:pPr>
            <w:r>
              <w:rPr>
                <w:color w:val="000000"/>
                <w:sz w:val="21"/>
                <w:szCs w:val="21"/>
              </w:rPr>
              <w:t>-</w:t>
            </w:r>
          </w:p>
        </w:tc>
        <w:tc>
          <w:tcPr>
            <w:tcW w:w="700" w:type="dxa"/>
            <w:tcBorders>
              <w:right w:val="single" w:color="auto" w:sz="12" w:space="0"/>
            </w:tcBorders>
            <w:vAlign w:val="center"/>
          </w:tcPr>
          <w:p w14:paraId="5230943C">
            <w:pPr>
              <w:widowControl w:val="0"/>
              <w:snapToGrid w:val="0"/>
              <w:jc w:val="center"/>
              <w:rPr>
                <w:color w:val="000000"/>
                <w:sz w:val="21"/>
                <w:szCs w:val="21"/>
              </w:rPr>
            </w:pPr>
            <w:r>
              <w:rPr>
                <w:rFonts w:hint="eastAsia"/>
                <w:color w:val="000000"/>
                <w:sz w:val="21"/>
                <w:szCs w:val="21"/>
              </w:rPr>
              <w:t>6</w:t>
            </w:r>
          </w:p>
        </w:tc>
      </w:tr>
      <w:tr w14:paraId="5601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009B640">
            <w:pPr>
              <w:widowControl w:val="0"/>
              <w:snapToGrid w:val="0"/>
              <w:jc w:val="both"/>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理想气体的热力性质和热力过程</w:t>
            </w:r>
          </w:p>
        </w:tc>
        <w:tc>
          <w:tcPr>
            <w:tcW w:w="2690" w:type="dxa"/>
            <w:vAlign w:val="center"/>
          </w:tcPr>
          <w:p w14:paraId="2A4AC58A">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14:paraId="232F90E9">
            <w:pPr>
              <w:widowControl w:val="0"/>
              <w:snapToGrid w:val="0"/>
              <w:jc w:val="both"/>
              <w:rPr>
                <w:color w:val="000000"/>
                <w:sz w:val="21"/>
                <w:szCs w:val="21"/>
              </w:rPr>
            </w:pPr>
            <w:r>
              <w:rPr>
                <w:rFonts w:hint="eastAsia"/>
                <w:color w:val="000000"/>
                <w:sz w:val="21"/>
                <w:szCs w:val="21"/>
              </w:rPr>
              <w:t>课程作业，</w:t>
            </w:r>
          </w:p>
          <w:p w14:paraId="3B0C1D81">
            <w:pPr>
              <w:widowControl w:val="0"/>
              <w:snapToGrid w:val="0"/>
              <w:jc w:val="both"/>
              <w:rPr>
                <w:color w:val="000000"/>
                <w:sz w:val="21"/>
                <w:szCs w:val="21"/>
              </w:rPr>
            </w:pPr>
            <w:r>
              <w:rPr>
                <w:rFonts w:hint="eastAsia"/>
                <w:color w:val="000000"/>
                <w:sz w:val="21"/>
                <w:szCs w:val="21"/>
              </w:rPr>
              <w:t>期末考试</w:t>
            </w:r>
          </w:p>
        </w:tc>
        <w:tc>
          <w:tcPr>
            <w:tcW w:w="708" w:type="dxa"/>
            <w:vAlign w:val="center"/>
          </w:tcPr>
          <w:p w14:paraId="257C9731">
            <w:pPr>
              <w:widowControl w:val="0"/>
              <w:snapToGrid w:val="0"/>
              <w:jc w:val="center"/>
              <w:rPr>
                <w:color w:val="000000"/>
                <w:sz w:val="21"/>
                <w:szCs w:val="21"/>
              </w:rPr>
            </w:pPr>
            <w:r>
              <w:rPr>
                <w:rFonts w:hint="eastAsia"/>
                <w:color w:val="000000"/>
                <w:sz w:val="21"/>
                <w:szCs w:val="21"/>
              </w:rPr>
              <w:t>6</w:t>
            </w:r>
          </w:p>
        </w:tc>
        <w:tc>
          <w:tcPr>
            <w:tcW w:w="653" w:type="dxa"/>
            <w:vAlign w:val="center"/>
          </w:tcPr>
          <w:p w14:paraId="595D739E">
            <w:pPr>
              <w:widowControl w:val="0"/>
              <w:snapToGrid w:val="0"/>
              <w:jc w:val="center"/>
              <w:rPr>
                <w:color w:val="000000"/>
                <w:sz w:val="21"/>
                <w:szCs w:val="21"/>
              </w:rPr>
            </w:pPr>
            <w:r>
              <w:rPr>
                <w:color w:val="000000"/>
                <w:sz w:val="21"/>
                <w:szCs w:val="21"/>
              </w:rPr>
              <w:t>-</w:t>
            </w:r>
          </w:p>
        </w:tc>
        <w:tc>
          <w:tcPr>
            <w:tcW w:w="700" w:type="dxa"/>
            <w:tcBorders>
              <w:right w:val="single" w:color="auto" w:sz="12" w:space="0"/>
            </w:tcBorders>
            <w:vAlign w:val="center"/>
          </w:tcPr>
          <w:p w14:paraId="08765332">
            <w:pPr>
              <w:widowControl w:val="0"/>
              <w:snapToGrid w:val="0"/>
              <w:jc w:val="center"/>
              <w:rPr>
                <w:color w:val="000000"/>
                <w:sz w:val="21"/>
                <w:szCs w:val="21"/>
              </w:rPr>
            </w:pPr>
            <w:r>
              <w:rPr>
                <w:rFonts w:hint="eastAsia"/>
                <w:color w:val="000000"/>
                <w:sz w:val="21"/>
                <w:szCs w:val="21"/>
              </w:rPr>
              <w:t>6</w:t>
            </w:r>
          </w:p>
        </w:tc>
      </w:tr>
      <w:tr w14:paraId="250C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B355E35">
            <w:pPr>
              <w:widowControl w:val="0"/>
              <w:snapToGrid w:val="0"/>
              <w:jc w:val="both"/>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热量传递的三种基本方式</w:t>
            </w:r>
          </w:p>
        </w:tc>
        <w:tc>
          <w:tcPr>
            <w:tcW w:w="2690" w:type="dxa"/>
            <w:vAlign w:val="center"/>
          </w:tcPr>
          <w:p w14:paraId="27A23E2B">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14:paraId="3E37FB77">
            <w:pPr>
              <w:widowControl w:val="0"/>
              <w:snapToGrid w:val="0"/>
              <w:jc w:val="both"/>
              <w:rPr>
                <w:color w:val="000000"/>
                <w:sz w:val="21"/>
                <w:szCs w:val="21"/>
              </w:rPr>
            </w:pPr>
            <w:r>
              <w:rPr>
                <w:rFonts w:hint="eastAsia"/>
                <w:color w:val="000000"/>
                <w:sz w:val="21"/>
                <w:szCs w:val="21"/>
              </w:rPr>
              <w:t>课程作业，</w:t>
            </w:r>
          </w:p>
          <w:p w14:paraId="280A785A">
            <w:pPr>
              <w:widowControl w:val="0"/>
              <w:snapToGrid w:val="0"/>
              <w:jc w:val="both"/>
              <w:rPr>
                <w:color w:val="000000"/>
                <w:sz w:val="21"/>
                <w:szCs w:val="21"/>
              </w:rPr>
            </w:pPr>
            <w:r>
              <w:rPr>
                <w:rFonts w:hint="eastAsia"/>
                <w:color w:val="000000"/>
                <w:sz w:val="21"/>
                <w:szCs w:val="21"/>
              </w:rPr>
              <w:t>期末考试</w:t>
            </w:r>
          </w:p>
        </w:tc>
        <w:tc>
          <w:tcPr>
            <w:tcW w:w="708" w:type="dxa"/>
            <w:vAlign w:val="center"/>
          </w:tcPr>
          <w:p w14:paraId="6024AD3F">
            <w:pPr>
              <w:widowControl w:val="0"/>
              <w:snapToGrid w:val="0"/>
              <w:jc w:val="center"/>
              <w:rPr>
                <w:color w:val="000000"/>
                <w:sz w:val="21"/>
                <w:szCs w:val="21"/>
              </w:rPr>
            </w:pPr>
            <w:r>
              <w:rPr>
                <w:color w:val="000000"/>
                <w:sz w:val="21"/>
                <w:szCs w:val="21"/>
              </w:rPr>
              <w:t>4</w:t>
            </w:r>
          </w:p>
        </w:tc>
        <w:tc>
          <w:tcPr>
            <w:tcW w:w="653" w:type="dxa"/>
            <w:vAlign w:val="center"/>
          </w:tcPr>
          <w:p w14:paraId="2BEE25FA">
            <w:pPr>
              <w:widowControl w:val="0"/>
              <w:snapToGrid w:val="0"/>
              <w:jc w:val="center"/>
              <w:rPr>
                <w:color w:val="000000"/>
                <w:sz w:val="21"/>
                <w:szCs w:val="21"/>
              </w:rPr>
            </w:pPr>
            <w:r>
              <w:rPr>
                <w:rFonts w:hint="eastAsia"/>
                <w:color w:val="000000"/>
                <w:sz w:val="21"/>
                <w:szCs w:val="21"/>
              </w:rPr>
              <w:t>-</w:t>
            </w:r>
          </w:p>
        </w:tc>
        <w:tc>
          <w:tcPr>
            <w:tcW w:w="700" w:type="dxa"/>
            <w:tcBorders>
              <w:right w:val="single" w:color="auto" w:sz="12" w:space="0"/>
            </w:tcBorders>
            <w:vAlign w:val="center"/>
          </w:tcPr>
          <w:p w14:paraId="5FF5C6F3">
            <w:pPr>
              <w:widowControl w:val="0"/>
              <w:snapToGrid w:val="0"/>
              <w:jc w:val="center"/>
              <w:rPr>
                <w:color w:val="000000"/>
                <w:sz w:val="21"/>
                <w:szCs w:val="21"/>
              </w:rPr>
            </w:pPr>
            <w:r>
              <w:rPr>
                <w:rFonts w:hint="eastAsia"/>
                <w:color w:val="000000"/>
                <w:sz w:val="21"/>
                <w:szCs w:val="21"/>
              </w:rPr>
              <w:t>4</w:t>
            </w:r>
          </w:p>
        </w:tc>
      </w:tr>
      <w:tr w14:paraId="2999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052B0AC">
            <w:pPr>
              <w:widowControl w:val="0"/>
              <w:snapToGrid w:val="0"/>
              <w:jc w:val="both"/>
              <w:rPr>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热工基础的应用</w:t>
            </w:r>
          </w:p>
        </w:tc>
        <w:tc>
          <w:tcPr>
            <w:tcW w:w="2690" w:type="dxa"/>
            <w:vAlign w:val="center"/>
          </w:tcPr>
          <w:p w14:paraId="1B5E6B6C">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14:paraId="73A44B89">
            <w:pPr>
              <w:widowControl w:val="0"/>
              <w:snapToGrid w:val="0"/>
              <w:jc w:val="both"/>
              <w:rPr>
                <w:color w:val="000000"/>
                <w:sz w:val="21"/>
                <w:szCs w:val="21"/>
              </w:rPr>
            </w:pPr>
            <w:r>
              <w:rPr>
                <w:rFonts w:hint="eastAsia"/>
                <w:color w:val="000000"/>
                <w:sz w:val="21"/>
                <w:szCs w:val="21"/>
              </w:rPr>
              <w:t>课程作业，</w:t>
            </w:r>
          </w:p>
          <w:p w14:paraId="21B3D6F9">
            <w:pPr>
              <w:widowControl w:val="0"/>
              <w:snapToGrid w:val="0"/>
              <w:jc w:val="both"/>
              <w:rPr>
                <w:color w:val="000000"/>
                <w:sz w:val="21"/>
                <w:szCs w:val="21"/>
              </w:rPr>
            </w:pPr>
            <w:r>
              <w:rPr>
                <w:rFonts w:hint="eastAsia"/>
                <w:color w:val="000000"/>
                <w:sz w:val="21"/>
                <w:szCs w:val="21"/>
              </w:rPr>
              <w:t>期末考试</w:t>
            </w:r>
          </w:p>
        </w:tc>
        <w:tc>
          <w:tcPr>
            <w:tcW w:w="708" w:type="dxa"/>
            <w:vAlign w:val="center"/>
          </w:tcPr>
          <w:p w14:paraId="2E1BB9F6">
            <w:pPr>
              <w:widowControl w:val="0"/>
              <w:snapToGrid w:val="0"/>
              <w:jc w:val="center"/>
              <w:rPr>
                <w:color w:val="000000"/>
                <w:sz w:val="21"/>
                <w:szCs w:val="21"/>
              </w:rPr>
            </w:pPr>
            <w:r>
              <w:rPr>
                <w:rFonts w:hint="eastAsia"/>
                <w:color w:val="000000"/>
                <w:sz w:val="21"/>
                <w:szCs w:val="21"/>
              </w:rPr>
              <w:t>6</w:t>
            </w:r>
          </w:p>
        </w:tc>
        <w:tc>
          <w:tcPr>
            <w:tcW w:w="653" w:type="dxa"/>
            <w:vAlign w:val="center"/>
          </w:tcPr>
          <w:p w14:paraId="42927AC1">
            <w:pPr>
              <w:widowControl w:val="0"/>
              <w:snapToGrid w:val="0"/>
              <w:jc w:val="center"/>
              <w:rPr>
                <w:color w:val="000000"/>
                <w:sz w:val="21"/>
                <w:szCs w:val="21"/>
              </w:rPr>
            </w:pPr>
            <w:r>
              <w:rPr>
                <w:rFonts w:hint="eastAsia"/>
                <w:color w:val="000000"/>
                <w:sz w:val="21"/>
                <w:szCs w:val="21"/>
              </w:rPr>
              <w:t>-</w:t>
            </w:r>
          </w:p>
        </w:tc>
        <w:tc>
          <w:tcPr>
            <w:tcW w:w="700" w:type="dxa"/>
            <w:tcBorders>
              <w:right w:val="single" w:color="auto" w:sz="12" w:space="0"/>
            </w:tcBorders>
            <w:vAlign w:val="center"/>
          </w:tcPr>
          <w:p w14:paraId="2CD36633">
            <w:pPr>
              <w:widowControl w:val="0"/>
              <w:snapToGrid w:val="0"/>
              <w:jc w:val="center"/>
              <w:rPr>
                <w:color w:val="000000"/>
                <w:sz w:val="21"/>
                <w:szCs w:val="21"/>
              </w:rPr>
            </w:pPr>
            <w:r>
              <w:rPr>
                <w:rFonts w:hint="eastAsia"/>
                <w:color w:val="000000"/>
                <w:sz w:val="21"/>
                <w:szCs w:val="21"/>
              </w:rPr>
              <w:t>6</w:t>
            </w:r>
          </w:p>
        </w:tc>
      </w:tr>
      <w:tr w14:paraId="24DC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729E8A7">
            <w:pPr>
              <w:pStyle w:val="13"/>
              <w:widowControl w:val="0"/>
            </w:pPr>
            <w:r>
              <w:rPr>
                <w:rFonts w:hint="eastAsia"/>
              </w:rPr>
              <w:t>合计</w:t>
            </w:r>
          </w:p>
        </w:tc>
        <w:tc>
          <w:tcPr>
            <w:tcW w:w="708" w:type="dxa"/>
            <w:tcBorders>
              <w:bottom w:val="single" w:color="auto" w:sz="12" w:space="0"/>
            </w:tcBorders>
            <w:vAlign w:val="center"/>
          </w:tcPr>
          <w:p w14:paraId="339B6D1D">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tcBorders>
              <w:bottom w:val="single" w:color="auto" w:sz="12" w:space="0"/>
            </w:tcBorders>
            <w:vAlign w:val="center"/>
          </w:tcPr>
          <w:p w14:paraId="53FED9DF">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00" w:type="dxa"/>
            <w:tcBorders>
              <w:bottom w:val="single" w:color="auto" w:sz="12" w:space="0"/>
              <w:right w:val="single" w:color="auto" w:sz="12" w:space="0"/>
            </w:tcBorders>
            <w:vAlign w:val="center"/>
          </w:tcPr>
          <w:p w14:paraId="7B6DD3E8">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334119B3">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17E8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0EA3E5C">
            <w:pPr>
              <w:pStyle w:val="14"/>
              <w:widowControl w:val="0"/>
              <w:ind w:firstLine="420" w:firstLineChars="200"/>
              <w:jc w:val="left"/>
            </w:pPr>
            <w:r>
              <w:t>1.</w:t>
            </w:r>
            <w:r>
              <w:rPr>
                <w:rFonts w:hint="eastAsia"/>
              </w:rPr>
              <w:t>绪论：以环境污染和可持续发展为引子，列举全球气候变暖的实例，课堂讨论分析其产生的原因，图表展示全球化石能源储备量及面临枯竭等问题，加强学生对生态文明建设的理解，培养学生的节能意识，要求学生在学习和生活中养成节约能源、低碳出行的习惯。</w:t>
            </w:r>
          </w:p>
          <w:p w14:paraId="24BA5195">
            <w:pPr>
              <w:pStyle w:val="14"/>
              <w:widowControl w:val="0"/>
              <w:ind w:firstLine="420" w:firstLineChars="200"/>
              <w:jc w:val="left"/>
            </w:pPr>
            <w:r>
              <w:t>2.</w:t>
            </w:r>
            <w:r>
              <w:rPr>
                <w:rFonts w:hint="eastAsia"/>
              </w:rPr>
              <w:t>热能转换的基本概念和定律：以第一类永动机和第二类永动机的设想为例，提出热力学第一定律和热力学第二定律的发现及多种表达形式，然后列举生活中的实例，再进行总结归纳。强化学生对“实践是检验真理的唯一标准”的理解，说明科学理论的形成与发展源于生产和生活，要求学生平时注意细心观察，善于总结，理论联系实际。</w:t>
            </w:r>
          </w:p>
          <w:p w14:paraId="14FAED48">
            <w:pPr>
              <w:pStyle w:val="14"/>
              <w:widowControl w:val="0"/>
              <w:ind w:firstLine="420" w:firstLineChars="200"/>
              <w:jc w:val="left"/>
            </w:pPr>
            <w:r>
              <w:t>3.</w:t>
            </w:r>
            <w:r>
              <w:rPr>
                <w:rFonts w:hint="eastAsia"/>
              </w:rPr>
              <w:t>工质的热力性质和热力过程：通过列举实际工程问题，要求学生通过查蒸气热力性质图表进行计算，体会查表法的弊端（比较烦琐、精度不高），提出推广信息技术的必要性，使学生养成科学的世界观和方法论，能够运用网络工具、数据库等现代信息技术，分析并解决与机械相关的热工学问题。同时，强调创新意识的培养，对现有技术和理论要敢于提出质疑，强调工程技术的发展要与环境、生态文明建设相统一，协调发展。</w:t>
            </w:r>
          </w:p>
          <w:p w14:paraId="52417614">
            <w:pPr>
              <w:pStyle w:val="14"/>
              <w:widowControl w:val="0"/>
              <w:ind w:firstLine="420" w:firstLineChars="200"/>
              <w:jc w:val="left"/>
            </w:pPr>
            <w:r>
              <w:t>4.</w:t>
            </w:r>
            <w:r>
              <w:rPr>
                <w:rFonts w:hint="eastAsia"/>
              </w:rPr>
              <w:t>热量传递的基本理论：由热设计和热控制问题引出生态文明建设的重要性，强调 工业废液及废热的处理，要求学生在今后的课程设计、毕业设计及各类工程设计中要考虑环境、生态及安全等因素的影响。</w:t>
            </w:r>
          </w:p>
          <w:p w14:paraId="60DA90D5">
            <w:pPr>
              <w:pStyle w:val="14"/>
              <w:widowControl w:val="0"/>
              <w:ind w:firstLine="420" w:firstLineChars="200"/>
              <w:jc w:val="left"/>
            </w:pPr>
            <w:r>
              <w:rPr>
                <w:rFonts w:hint="eastAsia"/>
              </w:rPr>
              <w:t>5</w:t>
            </w:r>
            <w:r>
              <w:t>.</w:t>
            </w:r>
            <w:r>
              <w:rPr>
                <w:rFonts w:hint="eastAsia"/>
              </w:rPr>
              <w:t>热工基础的应用：结合工程上善于传递热量的计算公式很多都是实验关联式，针对课程实验中如何正确记录和处理实验数据，对社会主义核心价值观进行诠释，强调学术诚信的重要性。</w:t>
            </w:r>
          </w:p>
        </w:tc>
      </w:tr>
    </w:tbl>
    <w:p w14:paraId="7CECAEF1">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929"/>
        <w:gridCol w:w="2254"/>
        <w:gridCol w:w="466"/>
        <w:gridCol w:w="466"/>
        <w:gridCol w:w="466"/>
        <w:gridCol w:w="466"/>
        <w:gridCol w:w="466"/>
        <w:gridCol w:w="531"/>
        <w:gridCol w:w="930"/>
      </w:tblGrid>
      <w:tr w14:paraId="78A3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vMerge w:val="restart"/>
            <w:tcBorders>
              <w:top w:val="single" w:color="auto" w:sz="12" w:space="0"/>
              <w:left w:val="single" w:color="auto" w:sz="12" w:space="0"/>
            </w:tcBorders>
            <w:vAlign w:val="center"/>
          </w:tcPr>
          <w:p w14:paraId="34BDA42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549" w:type="pct"/>
            <w:vMerge w:val="restart"/>
            <w:tcBorders>
              <w:top w:val="single" w:color="auto" w:sz="12" w:space="0"/>
            </w:tcBorders>
            <w:vAlign w:val="center"/>
          </w:tcPr>
          <w:p w14:paraId="6A6A5197">
            <w:pPr>
              <w:pStyle w:val="16"/>
              <w:widowControl w:val="0"/>
              <w:spacing w:line="240" w:lineRule="auto"/>
              <w:jc w:val="center"/>
              <w:rPr>
                <w:rFonts w:ascii="黑体" w:hAnsi="宋体"/>
              </w:rPr>
            </w:pPr>
            <w:r>
              <w:rPr>
                <w:rFonts w:hint="eastAsia" w:ascii="黑体" w:hAnsi="黑体"/>
                <w:bCs/>
                <w:sz w:val="21"/>
                <w:szCs w:val="21"/>
              </w:rPr>
              <w:t>占比</w:t>
            </w:r>
          </w:p>
        </w:tc>
        <w:tc>
          <w:tcPr>
            <w:tcW w:w="1326" w:type="pct"/>
            <w:vMerge w:val="restart"/>
            <w:tcBorders>
              <w:top w:val="single" w:color="auto" w:sz="12" w:space="0"/>
              <w:right w:val="double" w:color="auto" w:sz="4" w:space="0"/>
            </w:tcBorders>
            <w:vAlign w:val="center"/>
          </w:tcPr>
          <w:p w14:paraId="0E41E0FA">
            <w:pPr>
              <w:pStyle w:val="16"/>
              <w:widowControl w:val="0"/>
              <w:jc w:val="center"/>
              <w:rPr>
                <w:rFonts w:ascii="黑体" w:hAnsi="黑体"/>
                <w:bCs/>
                <w:sz w:val="21"/>
                <w:szCs w:val="21"/>
              </w:rPr>
            </w:pPr>
            <w:r>
              <w:rPr>
                <w:rFonts w:hint="eastAsia" w:ascii="黑体" w:hAnsi="黑体"/>
                <w:bCs/>
                <w:sz w:val="21"/>
                <w:szCs w:val="21"/>
              </w:rPr>
              <w:t>考核方式</w:t>
            </w:r>
          </w:p>
        </w:tc>
        <w:tc>
          <w:tcPr>
            <w:tcW w:w="1663" w:type="pct"/>
            <w:gridSpan w:val="6"/>
            <w:tcBorders>
              <w:top w:val="single" w:color="auto" w:sz="12" w:space="0"/>
              <w:left w:val="double" w:color="auto" w:sz="4" w:space="0"/>
            </w:tcBorders>
            <w:vAlign w:val="center"/>
          </w:tcPr>
          <w:p w14:paraId="0E459908">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549" w:type="pct"/>
            <w:vMerge w:val="restart"/>
            <w:tcBorders>
              <w:top w:val="single" w:color="auto" w:sz="12" w:space="0"/>
              <w:right w:val="single" w:color="auto" w:sz="12" w:space="0"/>
            </w:tcBorders>
            <w:vAlign w:val="center"/>
          </w:tcPr>
          <w:p w14:paraId="3B20D7AF">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93A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vMerge w:val="continue"/>
            <w:tcBorders>
              <w:left w:val="single" w:color="auto" w:sz="12" w:space="0"/>
            </w:tcBorders>
          </w:tcPr>
          <w:p w14:paraId="08CEB069">
            <w:pPr>
              <w:widowControl w:val="0"/>
              <w:snapToGrid w:val="0"/>
              <w:jc w:val="center"/>
              <w:rPr>
                <w:rFonts w:ascii="黑体" w:hAnsi="黑体" w:eastAsia="黑体"/>
                <w:bCs/>
                <w:sz w:val="21"/>
                <w:szCs w:val="21"/>
              </w:rPr>
            </w:pPr>
          </w:p>
        </w:tc>
        <w:tc>
          <w:tcPr>
            <w:tcW w:w="549" w:type="pct"/>
            <w:vMerge w:val="continue"/>
          </w:tcPr>
          <w:p w14:paraId="212A7D2A">
            <w:pPr>
              <w:pStyle w:val="16"/>
              <w:widowControl w:val="0"/>
              <w:jc w:val="both"/>
              <w:rPr>
                <w:rFonts w:ascii="黑体" w:hAnsi="黑体"/>
                <w:bCs/>
                <w:sz w:val="21"/>
                <w:szCs w:val="21"/>
              </w:rPr>
            </w:pPr>
          </w:p>
        </w:tc>
        <w:tc>
          <w:tcPr>
            <w:tcW w:w="1326" w:type="pct"/>
            <w:vMerge w:val="continue"/>
            <w:tcBorders>
              <w:right w:val="double" w:color="auto" w:sz="4" w:space="0"/>
            </w:tcBorders>
          </w:tcPr>
          <w:p w14:paraId="6B06F663">
            <w:pPr>
              <w:pStyle w:val="16"/>
              <w:widowControl w:val="0"/>
              <w:jc w:val="both"/>
              <w:rPr>
                <w:rFonts w:ascii="黑体" w:hAnsi="黑体"/>
                <w:bCs/>
                <w:sz w:val="21"/>
                <w:szCs w:val="21"/>
              </w:rPr>
            </w:pPr>
          </w:p>
        </w:tc>
        <w:tc>
          <w:tcPr>
            <w:tcW w:w="277" w:type="pct"/>
            <w:tcBorders>
              <w:left w:val="double" w:color="auto" w:sz="4" w:space="0"/>
            </w:tcBorders>
            <w:vAlign w:val="center"/>
          </w:tcPr>
          <w:p w14:paraId="3F18B1EA">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277" w:type="pct"/>
            <w:vAlign w:val="center"/>
          </w:tcPr>
          <w:p w14:paraId="0EF7776D">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277" w:type="pct"/>
            <w:vAlign w:val="center"/>
          </w:tcPr>
          <w:p w14:paraId="2096FAFB">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277" w:type="pct"/>
            <w:vAlign w:val="center"/>
          </w:tcPr>
          <w:p w14:paraId="390C24C3">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277" w:type="pct"/>
            <w:vAlign w:val="center"/>
          </w:tcPr>
          <w:p w14:paraId="0A5CC563">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277" w:type="pct"/>
            <w:vAlign w:val="center"/>
          </w:tcPr>
          <w:p w14:paraId="4F9D5045">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49" w:type="pct"/>
            <w:vMerge w:val="continue"/>
            <w:tcBorders>
              <w:right w:val="single" w:color="auto" w:sz="12" w:space="0"/>
            </w:tcBorders>
            <w:vAlign w:val="center"/>
          </w:tcPr>
          <w:p w14:paraId="254F0725">
            <w:pPr>
              <w:pStyle w:val="16"/>
              <w:widowControl w:val="0"/>
              <w:spacing w:line="240" w:lineRule="auto"/>
              <w:jc w:val="center"/>
              <w:rPr>
                <w:rFonts w:ascii="黑体" w:hAnsi="黑体"/>
                <w:bCs/>
                <w:sz w:val="21"/>
                <w:szCs w:val="21"/>
              </w:rPr>
            </w:pPr>
          </w:p>
        </w:tc>
      </w:tr>
      <w:tr w14:paraId="2AFD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14:paraId="4D70B73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549" w:type="pct"/>
            <w:vAlign w:val="center"/>
          </w:tcPr>
          <w:p w14:paraId="35E2A7D1">
            <w:pPr>
              <w:pStyle w:val="14"/>
              <w:widowControl w:val="0"/>
            </w:pPr>
            <w:r>
              <w:rPr>
                <w:rFonts w:hint="eastAsia"/>
              </w:rPr>
              <w:t>5</w:t>
            </w:r>
            <w:r>
              <w:t>0%</w:t>
            </w:r>
          </w:p>
        </w:tc>
        <w:tc>
          <w:tcPr>
            <w:tcW w:w="1326" w:type="pct"/>
            <w:tcBorders>
              <w:right w:val="double" w:color="auto" w:sz="4" w:space="0"/>
            </w:tcBorders>
            <w:vAlign w:val="center"/>
          </w:tcPr>
          <w:p w14:paraId="1C53AB25">
            <w:pPr>
              <w:pStyle w:val="14"/>
              <w:widowControl w:val="0"/>
            </w:pPr>
            <w:r>
              <w:rPr>
                <w:rFonts w:hint="eastAsia"/>
              </w:rPr>
              <w:t>期末闭卷笔试</w:t>
            </w:r>
          </w:p>
        </w:tc>
        <w:tc>
          <w:tcPr>
            <w:tcW w:w="277" w:type="pct"/>
            <w:tcBorders>
              <w:left w:val="double" w:color="auto" w:sz="4" w:space="0"/>
            </w:tcBorders>
            <w:vAlign w:val="center"/>
          </w:tcPr>
          <w:p w14:paraId="6D456754">
            <w:pPr>
              <w:pStyle w:val="14"/>
              <w:widowControl w:val="0"/>
            </w:pPr>
            <w:r>
              <w:t>30</w:t>
            </w:r>
          </w:p>
        </w:tc>
        <w:tc>
          <w:tcPr>
            <w:tcW w:w="277" w:type="pct"/>
            <w:vAlign w:val="center"/>
          </w:tcPr>
          <w:p w14:paraId="2039D931">
            <w:pPr>
              <w:pStyle w:val="14"/>
              <w:widowControl w:val="0"/>
            </w:pPr>
            <w:r>
              <w:t>30</w:t>
            </w:r>
          </w:p>
        </w:tc>
        <w:tc>
          <w:tcPr>
            <w:tcW w:w="277" w:type="pct"/>
            <w:vAlign w:val="center"/>
          </w:tcPr>
          <w:p w14:paraId="6823C7F1">
            <w:pPr>
              <w:pStyle w:val="14"/>
              <w:widowControl w:val="0"/>
            </w:pPr>
            <w:r>
              <w:rPr>
                <w:rFonts w:hint="eastAsia"/>
              </w:rPr>
              <w:t>2</w:t>
            </w:r>
            <w:r>
              <w:t>0</w:t>
            </w:r>
          </w:p>
        </w:tc>
        <w:tc>
          <w:tcPr>
            <w:tcW w:w="277" w:type="pct"/>
            <w:vAlign w:val="center"/>
          </w:tcPr>
          <w:p w14:paraId="0A153CDB">
            <w:pPr>
              <w:pStyle w:val="14"/>
              <w:widowControl w:val="0"/>
            </w:pPr>
            <w:r>
              <w:t>20</w:t>
            </w:r>
          </w:p>
        </w:tc>
        <w:tc>
          <w:tcPr>
            <w:tcW w:w="277" w:type="pct"/>
            <w:vAlign w:val="center"/>
          </w:tcPr>
          <w:p w14:paraId="2F9808B0">
            <w:pPr>
              <w:pStyle w:val="14"/>
              <w:widowControl w:val="0"/>
            </w:pPr>
          </w:p>
        </w:tc>
        <w:tc>
          <w:tcPr>
            <w:tcW w:w="277" w:type="pct"/>
            <w:vAlign w:val="center"/>
          </w:tcPr>
          <w:p w14:paraId="5A0C4899">
            <w:pPr>
              <w:pStyle w:val="14"/>
              <w:widowControl w:val="0"/>
            </w:pPr>
          </w:p>
        </w:tc>
        <w:tc>
          <w:tcPr>
            <w:tcW w:w="549" w:type="pct"/>
            <w:tcBorders>
              <w:right w:val="single" w:color="auto" w:sz="12" w:space="0"/>
            </w:tcBorders>
            <w:vAlign w:val="center"/>
          </w:tcPr>
          <w:p w14:paraId="0E385196">
            <w:pPr>
              <w:pStyle w:val="14"/>
              <w:widowControl w:val="0"/>
            </w:pPr>
            <w:r>
              <w:rPr>
                <w:rFonts w:hint="eastAsia"/>
              </w:rPr>
              <w:t>1</w:t>
            </w:r>
            <w:r>
              <w:t>00</w:t>
            </w:r>
          </w:p>
        </w:tc>
      </w:tr>
      <w:tr w14:paraId="2765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14:paraId="5BC98EC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549" w:type="pct"/>
            <w:vAlign w:val="center"/>
          </w:tcPr>
          <w:p w14:paraId="50DD40EF">
            <w:pPr>
              <w:pStyle w:val="14"/>
              <w:widowControl w:val="0"/>
            </w:pPr>
            <w:r>
              <w:t>10%</w:t>
            </w:r>
          </w:p>
        </w:tc>
        <w:tc>
          <w:tcPr>
            <w:tcW w:w="1326" w:type="pct"/>
            <w:tcBorders>
              <w:right w:val="double" w:color="auto" w:sz="4" w:space="0"/>
            </w:tcBorders>
            <w:vAlign w:val="center"/>
          </w:tcPr>
          <w:p w14:paraId="09B00007">
            <w:pPr>
              <w:pStyle w:val="14"/>
              <w:widowControl w:val="0"/>
            </w:pPr>
            <w:r>
              <w:rPr>
                <w:rFonts w:hint="eastAsia"/>
              </w:rPr>
              <w:t>平时表现</w:t>
            </w:r>
          </w:p>
        </w:tc>
        <w:tc>
          <w:tcPr>
            <w:tcW w:w="277" w:type="pct"/>
            <w:tcBorders>
              <w:left w:val="double" w:color="auto" w:sz="4" w:space="0"/>
            </w:tcBorders>
            <w:vAlign w:val="center"/>
          </w:tcPr>
          <w:p w14:paraId="4F745D63">
            <w:pPr>
              <w:pStyle w:val="14"/>
              <w:widowControl w:val="0"/>
            </w:pPr>
          </w:p>
        </w:tc>
        <w:tc>
          <w:tcPr>
            <w:tcW w:w="277" w:type="pct"/>
            <w:vAlign w:val="center"/>
          </w:tcPr>
          <w:p w14:paraId="2D857671">
            <w:pPr>
              <w:pStyle w:val="14"/>
              <w:widowControl w:val="0"/>
            </w:pPr>
          </w:p>
        </w:tc>
        <w:tc>
          <w:tcPr>
            <w:tcW w:w="277" w:type="pct"/>
            <w:vAlign w:val="center"/>
          </w:tcPr>
          <w:p w14:paraId="56EF4A51">
            <w:pPr>
              <w:pStyle w:val="14"/>
              <w:widowControl w:val="0"/>
            </w:pPr>
          </w:p>
        </w:tc>
        <w:tc>
          <w:tcPr>
            <w:tcW w:w="277" w:type="pct"/>
            <w:vAlign w:val="center"/>
          </w:tcPr>
          <w:p w14:paraId="0A3913F7">
            <w:pPr>
              <w:pStyle w:val="14"/>
              <w:widowControl w:val="0"/>
            </w:pPr>
          </w:p>
        </w:tc>
        <w:tc>
          <w:tcPr>
            <w:tcW w:w="277" w:type="pct"/>
            <w:vAlign w:val="center"/>
          </w:tcPr>
          <w:p w14:paraId="610CFFAC">
            <w:pPr>
              <w:pStyle w:val="14"/>
              <w:widowControl w:val="0"/>
            </w:pPr>
          </w:p>
        </w:tc>
        <w:tc>
          <w:tcPr>
            <w:tcW w:w="277" w:type="pct"/>
            <w:vAlign w:val="center"/>
          </w:tcPr>
          <w:p w14:paraId="4349AF35">
            <w:pPr>
              <w:pStyle w:val="14"/>
              <w:widowControl w:val="0"/>
            </w:pPr>
            <w:r>
              <w:rPr>
                <w:rFonts w:hint="eastAsia"/>
              </w:rPr>
              <w:t>1</w:t>
            </w:r>
            <w:r>
              <w:t>00</w:t>
            </w:r>
          </w:p>
        </w:tc>
        <w:tc>
          <w:tcPr>
            <w:tcW w:w="549" w:type="pct"/>
            <w:tcBorders>
              <w:right w:val="single" w:color="auto" w:sz="12" w:space="0"/>
            </w:tcBorders>
            <w:vAlign w:val="center"/>
          </w:tcPr>
          <w:p w14:paraId="587CDD52">
            <w:pPr>
              <w:pStyle w:val="14"/>
              <w:widowControl w:val="0"/>
            </w:pPr>
            <w:r>
              <w:rPr>
                <w:rFonts w:hint="eastAsia"/>
              </w:rPr>
              <w:t>1</w:t>
            </w:r>
            <w:r>
              <w:t>00</w:t>
            </w:r>
          </w:p>
        </w:tc>
      </w:tr>
      <w:tr w14:paraId="117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14:paraId="12899BC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549" w:type="pct"/>
            <w:vAlign w:val="center"/>
          </w:tcPr>
          <w:p w14:paraId="03951C08">
            <w:pPr>
              <w:pStyle w:val="14"/>
              <w:widowControl w:val="0"/>
            </w:pPr>
            <w:r>
              <w:rPr>
                <w:rFonts w:hint="eastAsia"/>
              </w:rPr>
              <w:t>2</w:t>
            </w:r>
            <w:r>
              <w:t>0%</w:t>
            </w:r>
          </w:p>
        </w:tc>
        <w:tc>
          <w:tcPr>
            <w:tcW w:w="1326" w:type="pct"/>
            <w:tcBorders>
              <w:right w:val="double" w:color="auto" w:sz="4" w:space="0"/>
            </w:tcBorders>
            <w:vAlign w:val="center"/>
          </w:tcPr>
          <w:p w14:paraId="665D3095">
            <w:pPr>
              <w:pStyle w:val="14"/>
              <w:widowControl w:val="0"/>
            </w:pPr>
            <w:r>
              <w:rPr>
                <w:rFonts w:hint="eastAsia"/>
              </w:rPr>
              <w:t>小论文</w:t>
            </w:r>
          </w:p>
        </w:tc>
        <w:tc>
          <w:tcPr>
            <w:tcW w:w="277" w:type="pct"/>
            <w:tcBorders>
              <w:left w:val="double" w:color="auto" w:sz="4" w:space="0"/>
            </w:tcBorders>
            <w:vAlign w:val="center"/>
          </w:tcPr>
          <w:p w14:paraId="4A019F71">
            <w:pPr>
              <w:pStyle w:val="14"/>
              <w:widowControl w:val="0"/>
            </w:pPr>
            <w:r>
              <w:t>10</w:t>
            </w:r>
          </w:p>
        </w:tc>
        <w:tc>
          <w:tcPr>
            <w:tcW w:w="277" w:type="pct"/>
            <w:vAlign w:val="center"/>
          </w:tcPr>
          <w:p w14:paraId="021311C5">
            <w:pPr>
              <w:pStyle w:val="14"/>
              <w:widowControl w:val="0"/>
            </w:pPr>
            <w:r>
              <w:t>10</w:t>
            </w:r>
          </w:p>
        </w:tc>
        <w:tc>
          <w:tcPr>
            <w:tcW w:w="277" w:type="pct"/>
            <w:vAlign w:val="center"/>
          </w:tcPr>
          <w:p w14:paraId="052A83EB">
            <w:pPr>
              <w:pStyle w:val="14"/>
              <w:widowControl w:val="0"/>
            </w:pPr>
            <w:r>
              <w:t>10</w:t>
            </w:r>
          </w:p>
        </w:tc>
        <w:tc>
          <w:tcPr>
            <w:tcW w:w="277" w:type="pct"/>
            <w:vAlign w:val="center"/>
          </w:tcPr>
          <w:p w14:paraId="217AF027">
            <w:pPr>
              <w:pStyle w:val="14"/>
              <w:widowControl w:val="0"/>
            </w:pPr>
            <w:r>
              <w:t>10</w:t>
            </w:r>
          </w:p>
        </w:tc>
        <w:tc>
          <w:tcPr>
            <w:tcW w:w="277" w:type="pct"/>
            <w:vAlign w:val="center"/>
          </w:tcPr>
          <w:p w14:paraId="735F9FF1">
            <w:pPr>
              <w:pStyle w:val="14"/>
              <w:widowControl w:val="0"/>
            </w:pPr>
            <w:r>
              <w:t>60</w:t>
            </w:r>
          </w:p>
        </w:tc>
        <w:tc>
          <w:tcPr>
            <w:tcW w:w="277" w:type="pct"/>
            <w:vAlign w:val="center"/>
          </w:tcPr>
          <w:p w14:paraId="47920F6D">
            <w:pPr>
              <w:pStyle w:val="14"/>
              <w:widowControl w:val="0"/>
            </w:pPr>
          </w:p>
        </w:tc>
        <w:tc>
          <w:tcPr>
            <w:tcW w:w="549" w:type="pct"/>
            <w:tcBorders>
              <w:right w:val="single" w:color="auto" w:sz="12" w:space="0"/>
            </w:tcBorders>
            <w:vAlign w:val="center"/>
          </w:tcPr>
          <w:p w14:paraId="6FEBF9CA">
            <w:pPr>
              <w:pStyle w:val="14"/>
              <w:widowControl w:val="0"/>
            </w:pPr>
            <w:r>
              <w:rPr>
                <w:rFonts w:hint="eastAsia"/>
              </w:rPr>
              <w:t>1</w:t>
            </w:r>
            <w:r>
              <w:t>00</w:t>
            </w:r>
          </w:p>
        </w:tc>
      </w:tr>
      <w:tr w14:paraId="153B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14:paraId="5D67C5B6">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3</w:t>
            </w:r>
          </w:p>
        </w:tc>
        <w:tc>
          <w:tcPr>
            <w:tcW w:w="549" w:type="pct"/>
            <w:vAlign w:val="center"/>
          </w:tcPr>
          <w:p w14:paraId="607DFD2B">
            <w:pPr>
              <w:pStyle w:val="14"/>
              <w:widowControl w:val="0"/>
            </w:pPr>
            <w:r>
              <w:t>20%</w:t>
            </w:r>
          </w:p>
        </w:tc>
        <w:tc>
          <w:tcPr>
            <w:tcW w:w="1326" w:type="pct"/>
            <w:tcBorders>
              <w:right w:val="double" w:color="auto" w:sz="4" w:space="0"/>
            </w:tcBorders>
            <w:vAlign w:val="center"/>
          </w:tcPr>
          <w:p w14:paraId="62F7A2A8">
            <w:pPr>
              <w:pStyle w:val="14"/>
              <w:widowControl w:val="0"/>
            </w:pPr>
            <w:r>
              <w:rPr>
                <w:rFonts w:hint="eastAsia"/>
              </w:rPr>
              <w:t>课堂测验</w:t>
            </w:r>
          </w:p>
        </w:tc>
        <w:tc>
          <w:tcPr>
            <w:tcW w:w="277" w:type="pct"/>
            <w:tcBorders>
              <w:left w:val="double" w:color="auto" w:sz="4" w:space="0"/>
            </w:tcBorders>
            <w:vAlign w:val="center"/>
          </w:tcPr>
          <w:p w14:paraId="2AD3A980">
            <w:pPr>
              <w:pStyle w:val="14"/>
              <w:widowControl w:val="0"/>
            </w:pPr>
            <w:r>
              <w:rPr>
                <w:rFonts w:hint="eastAsia"/>
              </w:rPr>
              <w:t>3</w:t>
            </w:r>
            <w:r>
              <w:t>0</w:t>
            </w:r>
          </w:p>
        </w:tc>
        <w:tc>
          <w:tcPr>
            <w:tcW w:w="277" w:type="pct"/>
            <w:vAlign w:val="center"/>
          </w:tcPr>
          <w:p w14:paraId="725043AF">
            <w:pPr>
              <w:pStyle w:val="14"/>
              <w:widowControl w:val="0"/>
            </w:pPr>
            <w:r>
              <w:t>30</w:t>
            </w:r>
          </w:p>
        </w:tc>
        <w:tc>
          <w:tcPr>
            <w:tcW w:w="277" w:type="pct"/>
            <w:vAlign w:val="center"/>
          </w:tcPr>
          <w:p w14:paraId="42CCAFEB">
            <w:pPr>
              <w:pStyle w:val="14"/>
              <w:widowControl w:val="0"/>
            </w:pPr>
            <w:r>
              <w:rPr>
                <w:rFonts w:hint="eastAsia"/>
              </w:rPr>
              <w:t>2</w:t>
            </w:r>
            <w:r>
              <w:t>0</w:t>
            </w:r>
          </w:p>
        </w:tc>
        <w:tc>
          <w:tcPr>
            <w:tcW w:w="277" w:type="pct"/>
            <w:vAlign w:val="center"/>
          </w:tcPr>
          <w:p w14:paraId="53D37AF6">
            <w:pPr>
              <w:pStyle w:val="14"/>
              <w:widowControl w:val="0"/>
            </w:pPr>
            <w:r>
              <w:rPr>
                <w:rFonts w:hint="eastAsia"/>
              </w:rPr>
              <w:t>2</w:t>
            </w:r>
            <w:r>
              <w:t>0</w:t>
            </w:r>
          </w:p>
        </w:tc>
        <w:tc>
          <w:tcPr>
            <w:tcW w:w="277" w:type="pct"/>
            <w:vAlign w:val="center"/>
          </w:tcPr>
          <w:p w14:paraId="569910A3">
            <w:pPr>
              <w:pStyle w:val="14"/>
              <w:widowControl w:val="0"/>
            </w:pPr>
          </w:p>
        </w:tc>
        <w:tc>
          <w:tcPr>
            <w:tcW w:w="277" w:type="pct"/>
            <w:vAlign w:val="center"/>
          </w:tcPr>
          <w:p w14:paraId="0025DCBE">
            <w:pPr>
              <w:pStyle w:val="14"/>
              <w:widowControl w:val="0"/>
            </w:pPr>
          </w:p>
        </w:tc>
        <w:tc>
          <w:tcPr>
            <w:tcW w:w="549" w:type="pct"/>
            <w:tcBorders>
              <w:right w:val="single" w:color="auto" w:sz="12" w:space="0"/>
            </w:tcBorders>
            <w:vAlign w:val="center"/>
          </w:tcPr>
          <w:p w14:paraId="2D0FA815">
            <w:pPr>
              <w:pStyle w:val="14"/>
              <w:widowControl w:val="0"/>
            </w:pPr>
            <w:r>
              <w:rPr>
                <w:rFonts w:hint="eastAsia"/>
              </w:rPr>
              <w:t>1</w:t>
            </w:r>
            <w:r>
              <w:t>00</w:t>
            </w:r>
          </w:p>
        </w:tc>
      </w:tr>
    </w:tbl>
    <w:p w14:paraId="11C5F7DB">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57C15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7B0E552">
            <w:pPr>
              <w:pStyle w:val="14"/>
              <w:widowControl w:val="0"/>
              <w:jc w:val="left"/>
              <w:rPr>
                <w:rFonts w:ascii="仿宋" w:hAnsi="仿宋" w:eastAsia="仿宋" w:cs="仿宋"/>
              </w:rPr>
            </w:pPr>
          </w:p>
          <w:p w14:paraId="7ED2AEF3">
            <w:pPr>
              <w:pStyle w:val="14"/>
              <w:widowControl w:val="0"/>
              <w:jc w:val="left"/>
              <w:rPr>
                <w:rFonts w:ascii="宋体" w:hAnsi="宋体"/>
                <w:bCs/>
              </w:rPr>
            </w:pPr>
          </w:p>
          <w:p w14:paraId="7B006DFC">
            <w:pPr>
              <w:pStyle w:val="14"/>
              <w:widowControl w:val="0"/>
              <w:jc w:val="left"/>
              <w:rPr>
                <w:rFonts w:ascii="黑体"/>
              </w:rPr>
            </w:pPr>
          </w:p>
        </w:tc>
      </w:tr>
    </w:tbl>
    <w:p w14:paraId="5BF33CE2">
      <w:pPr>
        <w:pStyle w:val="16"/>
        <w:rPr>
          <w:rFonts w:ascii="黑体" w:hAnsi="宋体"/>
          <w:sz w:val="18"/>
          <w:szCs w:val="1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330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621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BC1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9FB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BDB903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BDB9031">
                    <w:pPr>
                      <w:rPr>
                        <w:rFonts w:ascii="Times New Roman" w:hAnsi="Times New Roman"/>
                      </w:rPr>
                    </w:pPr>
                    <w:r>
                      <w:rPr>
                        <w:rFonts w:ascii="Times New Roman" w:hAnsi="Times New Roman"/>
                      </w:rPr>
                      <w:t>SJQU-QR-JW-055（A0）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64B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3BD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B7651F"/>
    <w:rsid w:val="0000137B"/>
    <w:rsid w:val="00001B39"/>
    <w:rsid w:val="00003714"/>
    <w:rsid w:val="0000436A"/>
    <w:rsid w:val="000102CD"/>
    <w:rsid w:val="000119EC"/>
    <w:rsid w:val="0001337D"/>
    <w:rsid w:val="000141D9"/>
    <w:rsid w:val="00014359"/>
    <w:rsid w:val="00014F06"/>
    <w:rsid w:val="000203E0"/>
    <w:rsid w:val="0002061C"/>
    <w:rsid w:val="000210E0"/>
    <w:rsid w:val="00022002"/>
    <w:rsid w:val="00023766"/>
    <w:rsid w:val="00033082"/>
    <w:rsid w:val="00033882"/>
    <w:rsid w:val="00036602"/>
    <w:rsid w:val="00040F6D"/>
    <w:rsid w:val="00044088"/>
    <w:rsid w:val="00047820"/>
    <w:rsid w:val="00050E4C"/>
    <w:rsid w:val="00053590"/>
    <w:rsid w:val="000544AE"/>
    <w:rsid w:val="0006001D"/>
    <w:rsid w:val="0006085F"/>
    <w:rsid w:val="00066041"/>
    <w:rsid w:val="00073076"/>
    <w:rsid w:val="00076794"/>
    <w:rsid w:val="00077ED4"/>
    <w:rsid w:val="00080660"/>
    <w:rsid w:val="000810D0"/>
    <w:rsid w:val="0008122A"/>
    <w:rsid w:val="00083A85"/>
    <w:rsid w:val="00087488"/>
    <w:rsid w:val="0009050A"/>
    <w:rsid w:val="00091CA5"/>
    <w:rsid w:val="0009721F"/>
    <w:rsid w:val="000A0ACD"/>
    <w:rsid w:val="000A1A3A"/>
    <w:rsid w:val="000A2ED7"/>
    <w:rsid w:val="000A37A7"/>
    <w:rsid w:val="000A4E73"/>
    <w:rsid w:val="000A6632"/>
    <w:rsid w:val="000B1BD2"/>
    <w:rsid w:val="000C0F0D"/>
    <w:rsid w:val="000C13BC"/>
    <w:rsid w:val="000C1BE7"/>
    <w:rsid w:val="000D203B"/>
    <w:rsid w:val="000D28E5"/>
    <w:rsid w:val="000D34D7"/>
    <w:rsid w:val="000E00EA"/>
    <w:rsid w:val="000E13EC"/>
    <w:rsid w:val="000E2191"/>
    <w:rsid w:val="00100633"/>
    <w:rsid w:val="00101165"/>
    <w:rsid w:val="0010320E"/>
    <w:rsid w:val="001072BC"/>
    <w:rsid w:val="00114BD6"/>
    <w:rsid w:val="00120A77"/>
    <w:rsid w:val="001274BB"/>
    <w:rsid w:val="00130BAD"/>
    <w:rsid w:val="00130F6D"/>
    <w:rsid w:val="00133554"/>
    <w:rsid w:val="001344D9"/>
    <w:rsid w:val="00136DF4"/>
    <w:rsid w:val="00140010"/>
    <w:rsid w:val="00141A0B"/>
    <w:rsid w:val="00142886"/>
    <w:rsid w:val="00144082"/>
    <w:rsid w:val="00146B61"/>
    <w:rsid w:val="00155056"/>
    <w:rsid w:val="00160F2A"/>
    <w:rsid w:val="0016381F"/>
    <w:rsid w:val="00163A48"/>
    <w:rsid w:val="001641D7"/>
    <w:rsid w:val="00164E36"/>
    <w:rsid w:val="0016621A"/>
    <w:rsid w:val="001678A2"/>
    <w:rsid w:val="0017038A"/>
    <w:rsid w:val="0017067A"/>
    <w:rsid w:val="0017327C"/>
    <w:rsid w:val="00175409"/>
    <w:rsid w:val="00177235"/>
    <w:rsid w:val="00181B0C"/>
    <w:rsid w:val="00183AA1"/>
    <w:rsid w:val="0018767C"/>
    <w:rsid w:val="00192D31"/>
    <w:rsid w:val="00193037"/>
    <w:rsid w:val="0019411F"/>
    <w:rsid w:val="0019555E"/>
    <w:rsid w:val="001A135C"/>
    <w:rsid w:val="001A3C8E"/>
    <w:rsid w:val="001A3F70"/>
    <w:rsid w:val="001B0D49"/>
    <w:rsid w:val="001B4D65"/>
    <w:rsid w:val="001B5273"/>
    <w:rsid w:val="001B546F"/>
    <w:rsid w:val="001B683E"/>
    <w:rsid w:val="001C16FC"/>
    <w:rsid w:val="001C2E3E"/>
    <w:rsid w:val="001C388D"/>
    <w:rsid w:val="001D0A56"/>
    <w:rsid w:val="001D7459"/>
    <w:rsid w:val="001E0494"/>
    <w:rsid w:val="001E1D2D"/>
    <w:rsid w:val="001E479C"/>
    <w:rsid w:val="001E4E7B"/>
    <w:rsid w:val="001E5A17"/>
    <w:rsid w:val="001F284E"/>
    <w:rsid w:val="001F332E"/>
    <w:rsid w:val="001F3D2C"/>
    <w:rsid w:val="00202D75"/>
    <w:rsid w:val="00211643"/>
    <w:rsid w:val="00217861"/>
    <w:rsid w:val="002200D9"/>
    <w:rsid w:val="002204E4"/>
    <w:rsid w:val="002211BF"/>
    <w:rsid w:val="00224145"/>
    <w:rsid w:val="00224AF0"/>
    <w:rsid w:val="0023015C"/>
    <w:rsid w:val="0023038B"/>
    <w:rsid w:val="00231AE3"/>
    <w:rsid w:val="00232479"/>
    <w:rsid w:val="00233E6B"/>
    <w:rsid w:val="00233F15"/>
    <w:rsid w:val="00236DA2"/>
    <w:rsid w:val="002372D7"/>
    <w:rsid w:val="002420F1"/>
    <w:rsid w:val="0024304C"/>
    <w:rsid w:val="00244C5E"/>
    <w:rsid w:val="00245A9A"/>
    <w:rsid w:val="00246BB3"/>
    <w:rsid w:val="00253AC8"/>
    <w:rsid w:val="00256B39"/>
    <w:rsid w:val="0026033C"/>
    <w:rsid w:val="00261F71"/>
    <w:rsid w:val="002636B6"/>
    <w:rsid w:val="00265752"/>
    <w:rsid w:val="0027057A"/>
    <w:rsid w:val="0027339A"/>
    <w:rsid w:val="00274E82"/>
    <w:rsid w:val="002757AB"/>
    <w:rsid w:val="0027777C"/>
    <w:rsid w:val="00277FE7"/>
    <w:rsid w:val="002803C3"/>
    <w:rsid w:val="002806C0"/>
    <w:rsid w:val="00284528"/>
    <w:rsid w:val="002877FA"/>
    <w:rsid w:val="00290962"/>
    <w:rsid w:val="0029110B"/>
    <w:rsid w:val="00295538"/>
    <w:rsid w:val="002961BD"/>
    <w:rsid w:val="002A4649"/>
    <w:rsid w:val="002A7227"/>
    <w:rsid w:val="002B0773"/>
    <w:rsid w:val="002B0C48"/>
    <w:rsid w:val="002B13CA"/>
    <w:rsid w:val="002B3650"/>
    <w:rsid w:val="002B5561"/>
    <w:rsid w:val="002B7322"/>
    <w:rsid w:val="002C0D02"/>
    <w:rsid w:val="002C58B6"/>
    <w:rsid w:val="002D0E86"/>
    <w:rsid w:val="002D7C47"/>
    <w:rsid w:val="002E33CE"/>
    <w:rsid w:val="002E3721"/>
    <w:rsid w:val="002E6F95"/>
    <w:rsid w:val="002E764D"/>
    <w:rsid w:val="002F3157"/>
    <w:rsid w:val="002F493E"/>
    <w:rsid w:val="002F6BD5"/>
    <w:rsid w:val="00300C7D"/>
    <w:rsid w:val="00305F23"/>
    <w:rsid w:val="00307B6A"/>
    <w:rsid w:val="003134CD"/>
    <w:rsid w:val="00313BBA"/>
    <w:rsid w:val="0031485C"/>
    <w:rsid w:val="00315B52"/>
    <w:rsid w:val="00315CC0"/>
    <w:rsid w:val="00317D36"/>
    <w:rsid w:val="00317E29"/>
    <w:rsid w:val="00321515"/>
    <w:rsid w:val="00321F49"/>
    <w:rsid w:val="00322D15"/>
    <w:rsid w:val="0032505F"/>
    <w:rsid w:val="003255C7"/>
    <w:rsid w:val="0032602E"/>
    <w:rsid w:val="00327318"/>
    <w:rsid w:val="00327B8C"/>
    <w:rsid w:val="003304CE"/>
    <w:rsid w:val="00331638"/>
    <w:rsid w:val="003329B6"/>
    <w:rsid w:val="003344A7"/>
    <w:rsid w:val="00334623"/>
    <w:rsid w:val="003367AE"/>
    <w:rsid w:val="00340439"/>
    <w:rsid w:val="0034353A"/>
    <w:rsid w:val="00344EF2"/>
    <w:rsid w:val="00345385"/>
    <w:rsid w:val="00347EB8"/>
    <w:rsid w:val="00347F80"/>
    <w:rsid w:val="00353F74"/>
    <w:rsid w:val="00354F92"/>
    <w:rsid w:val="003557DE"/>
    <w:rsid w:val="00361BEB"/>
    <w:rsid w:val="00362F2F"/>
    <w:rsid w:val="003645F1"/>
    <w:rsid w:val="003666D3"/>
    <w:rsid w:val="00370184"/>
    <w:rsid w:val="00371860"/>
    <w:rsid w:val="00373C8A"/>
    <w:rsid w:val="00377C10"/>
    <w:rsid w:val="00384779"/>
    <w:rsid w:val="00384A1F"/>
    <w:rsid w:val="00384D60"/>
    <w:rsid w:val="00385D41"/>
    <w:rsid w:val="003861BA"/>
    <w:rsid w:val="00397E18"/>
    <w:rsid w:val="003A1680"/>
    <w:rsid w:val="003A373C"/>
    <w:rsid w:val="003A4755"/>
    <w:rsid w:val="003A5874"/>
    <w:rsid w:val="003B1258"/>
    <w:rsid w:val="003B4A81"/>
    <w:rsid w:val="003C1F8D"/>
    <w:rsid w:val="003C61A5"/>
    <w:rsid w:val="003C78FA"/>
    <w:rsid w:val="003C7995"/>
    <w:rsid w:val="003D048A"/>
    <w:rsid w:val="003D1743"/>
    <w:rsid w:val="003D1968"/>
    <w:rsid w:val="003D4994"/>
    <w:rsid w:val="003D4B08"/>
    <w:rsid w:val="003D6637"/>
    <w:rsid w:val="003E10A5"/>
    <w:rsid w:val="003E250F"/>
    <w:rsid w:val="003E2C2A"/>
    <w:rsid w:val="003E6B9C"/>
    <w:rsid w:val="003E7D72"/>
    <w:rsid w:val="003F202F"/>
    <w:rsid w:val="003F3923"/>
    <w:rsid w:val="003F43F6"/>
    <w:rsid w:val="004019DB"/>
    <w:rsid w:val="00402B67"/>
    <w:rsid w:val="00402BF8"/>
    <w:rsid w:val="00403C91"/>
    <w:rsid w:val="0040433E"/>
    <w:rsid w:val="0040466C"/>
    <w:rsid w:val="00404974"/>
    <w:rsid w:val="0040726A"/>
    <w:rsid w:val="00407C94"/>
    <w:rsid w:val="004100B0"/>
    <w:rsid w:val="0041267F"/>
    <w:rsid w:val="004130B6"/>
    <w:rsid w:val="004235C8"/>
    <w:rsid w:val="00424BA5"/>
    <w:rsid w:val="00425398"/>
    <w:rsid w:val="00425431"/>
    <w:rsid w:val="00425F1A"/>
    <w:rsid w:val="00427B84"/>
    <w:rsid w:val="00431829"/>
    <w:rsid w:val="004343BF"/>
    <w:rsid w:val="00436B88"/>
    <w:rsid w:val="00437B60"/>
    <w:rsid w:val="004405E6"/>
    <w:rsid w:val="00443C84"/>
    <w:rsid w:val="00443C89"/>
    <w:rsid w:val="004445A7"/>
    <w:rsid w:val="00453989"/>
    <w:rsid w:val="0045401D"/>
    <w:rsid w:val="004540AA"/>
    <w:rsid w:val="00456BD8"/>
    <w:rsid w:val="00456DC8"/>
    <w:rsid w:val="004627C9"/>
    <w:rsid w:val="00463124"/>
    <w:rsid w:val="0046549D"/>
    <w:rsid w:val="00466E3D"/>
    <w:rsid w:val="004670B5"/>
    <w:rsid w:val="00467C07"/>
    <w:rsid w:val="004711E7"/>
    <w:rsid w:val="00471668"/>
    <w:rsid w:val="00474994"/>
    <w:rsid w:val="00481F98"/>
    <w:rsid w:val="0048488B"/>
    <w:rsid w:val="004852BF"/>
    <w:rsid w:val="0048767F"/>
    <w:rsid w:val="00487A46"/>
    <w:rsid w:val="00492021"/>
    <w:rsid w:val="00492370"/>
    <w:rsid w:val="00493504"/>
    <w:rsid w:val="00494579"/>
    <w:rsid w:val="00497334"/>
    <w:rsid w:val="00497CDF"/>
    <w:rsid w:val="004A4645"/>
    <w:rsid w:val="004A6F3A"/>
    <w:rsid w:val="004A7E6F"/>
    <w:rsid w:val="004B408D"/>
    <w:rsid w:val="004B6F68"/>
    <w:rsid w:val="004B73F7"/>
    <w:rsid w:val="004C076A"/>
    <w:rsid w:val="004D0DE5"/>
    <w:rsid w:val="004D4FB3"/>
    <w:rsid w:val="004D7576"/>
    <w:rsid w:val="004D75A6"/>
    <w:rsid w:val="004E0281"/>
    <w:rsid w:val="004E3456"/>
    <w:rsid w:val="004E7917"/>
    <w:rsid w:val="004F0204"/>
    <w:rsid w:val="004F3DF0"/>
    <w:rsid w:val="004F5FD9"/>
    <w:rsid w:val="004F7288"/>
    <w:rsid w:val="0050031D"/>
    <w:rsid w:val="00500D36"/>
    <w:rsid w:val="0050143B"/>
    <w:rsid w:val="00502BED"/>
    <w:rsid w:val="005030DD"/>
    <w:rsid w:val="00505994"/>
    <w:rsid w:val="00505AEA"/>
    <w:rsid w:val="005074E1"/>
    <w:rsid w:val="00510A8B"/>
    <w:rsid w:val="005126F1"/>
    <w:rsid w:val="00513F2F"/>
    <w:rsid w:val="0051612A"/>
    <w:rsid w:val="00517176"/>
    <w:rsid w:val="00520CA4"/>
    <w:rsid w:val="0052192E"/>
    <w:rsid w:val="00522DC1"/>
    <w:rsid w:val="00524300"/>
    <w:rsid w:val="00541F72"/>
    <w:rsid w:val="00542388"/>
    <w:rsid w:val="00543DD2"/>
    <w:rsid w:val="00544523"/>
    <w:rsid w:val="00544D60"/>
    <w:rsid w:val="0054654F"/>
    <w:rsid w:val="005467DC"/>
    <w:rsid w:val="00546A82"/>
    <w:rsid w:val="00547C51"/>
    <w:rsid w:val="00551335"/>
    <w:rsid w:val="005519BB"/>
    <w:rsid w:val="005523FD"/>
    <w:rsid w:val="00553D03"/>
    <w:rsid w:val="00555BA0"/>
    <w:rsid w:val="00555E4D"/>
    <w:rsid w:val="00556120"/>
    <w:rsid w:val="00556E41"/>
    <w:rsid w:val="0056384A"/>
    <w:rsid w:val="005670A6"/>
    <w:rsid w:val="00567433"/>
    <w:rsid w:val="0057009B"/>
    <w:rsid w:val="0057496F"/>
    <w:rsid w:val="00576919"/>
    <w:rsid w:val="005770A6"/>
    <w:rsid w:val="005804AD"/>
    <w:rsid w:val="0059045B"/>
    <w:rsid w:val="00597EC2"/>
    <w:rsid w:val="005A13AB"/>
    <w:rsid w:val="005A5027"/>
    <w:rsid w:val="005A6744"/>
    <w:rsid w:val="005B1150"/>
    <w:rsid w:val="005B1FFC"/>
    <w:rsid w:val="005B2471"/>
    <w:rsid w:val="005B2B6D"/>
    <w:rsid w:val="005B36CE"/>
    <w:rsid w:val="005B4B4E"/>
    <w:rsid w:val="005B4B5D"/>
    <w:rsid w:val="005C05B6"/>
    <w:rsid w:val="005C3A76"/>
    <w:rsid w:val="005D4EF8"/>
    <w:rsid w:val="005D5B6F"/>
    <w:rsid w:val="005E38A5"/>
    <w:rsid w:val="005E488F"/>
    <w:rsid w:val="005E5A6A"/>
    <w:rsid w:val="005F0023"/>
    <w:rsid w:val="005F0026"/>
    <w:rsid w:val="005F5185"/>
    <w:rsid w:val="005F66EC"/>
    <w:rsid w:val="005F755E"/>
    <w:rsid w:val="006023B4"/>
    <w:rsid w:val="00607602"/>
    <w:rsid w:val="0061113C"/>
    <w:rsid w:val="006128F7"/>
    <w:rsid w:val="0062115C"/>
    <w:rsid w:val="0062132B"/>
    <w:rsid w:val="0062265B"/>
    <w:rsid w:val="00622718"/>
    <w:rsid w:val="00624B5C"/>
    <w:rsid w:val="00624FE1"/>
    <w:rsid w:val="0062577D"/>
    <w:rsid w:val="0063249D"/>
    <w:rsid w:val="006331EE"/>
    <w:rsid w:val="006346A7"/>
    <w:rsid w:val="006355E6"/>
    <w:rsid w:val="00636965"/>
    <w:rsid w:val="00637E00"/>
    <w:rsid w:val="0064038A"/>
    <w:rsid w:val="00642312"/>
    <w:rsid w:val="00650528"/>
    <w:rsid w:val="0065167D"/>
    <w:rsid w:val="00652D13"/>
    <w:rsid w:val="00655536"/>
    <w:rsid w:val="0066503D"/>
    <w:rsid w:val="0066595A"/>
    <w:rsid w:val="00666089"/>
    <w:rsid w:val="00666206"/>
    <w:rsid w:val="00666DED"/>
    <w:rsid w:val="00672788"/>
    <w:rsid w:val="006731E9"/>
    <w:rsid w:val="00676183"/>
    <w:rsid w:val="00680DA3"/>
    <w:rsid w:val="0068377F"/>
    <w:rsid w:val="006837A1"/>
    <w:rsid w:val="006913FE"/>
    <w:rsid w:val="00691B24"/>
    <w:rsid w:val="00695B93"/>
    <w:rsid w:val="00697C16"/>
    <w:rsid w:val="006A05B3"/>
    <w:rsid w:val="006A18E4"/>
    <w:rsid w:val="006A5A89"/>
    <w:rsid w:val="006A67A4"/>
    <w:rsid w:val="006B0F0A"/>
    <w:rsid w:val="006B1F7E"/>
    <w:rsid w:val="006B3BB9"/>
    <w:rsid w:val="006B48AC"/>
    <w:rsid w:val="006B5977"/>
    <w:rsid w:val="006C3707"/>
    <w:rsid w:val="006C67F1"/>
    <w:rsid w:val="006D1B59"/>
    <w:rsid w:val="006D2F9C"/>
    <w:rsid w:val="006D4351"/>
    <w:rsid w:val="006D5424"/>
    <w:rsid w:val="006D7F98"/>
    <w:rsid w:val="006E5CA9"/>
    <w:rsid w:val="006E5E98"/>
    <w:rsid w:val="006E7A37"/>
    <w:rsid w:val="006E7F92"/>
    <w:rsid w:val="006F3151"/>
    <w:rsid w:val="006F3841"/>
    <w:rsid w:val="006F47C5"/>
    <w:rsid w:val="006F5D40"/>
    <w:rsid w:val="007010AF"/>
    <w:rsid w:val="007011CA"/>
    <w:rsid w:val="0070493D"/>
    <w:rsid w:val="007056DE"/>
    <w:rsid w:val="00706121"/>
    <w:rsid w:val="007078F1"/>
    <w:rsid w:val="00710B6B"/>
    <w:rsid w:val="00712A2C"/>
    <w:rsid w:val="00712BA0"/>
    <w:rsid w:val="00712E84"/>
    <w:rsid w:val="0071371A"/>
    <w:rsid w:val="00714914"/>
    <w:rsid w:val="00717E82"/>
    <w:rsid w:val="007208D6"/>
    <w:rsid w:val="0072127A"/>
    <w:rsid w:val="00721D57"/>
    <w:rsid w:val="00726786"/>
    <w:rsid w:val="007271AD"/>
    <w:rsid w:val="00732152"/>
    <w:rsid w:val="007428C4"/>
    <w:rsid w:val="007428DF"/>
    <w:rsid w:val="00742BD1"/>
    <w:rsid w:val="00742E7A"/>
    <w:rsid w:val="00743FAA"/>
    <w:rsid w:val="0074424F"/>
    <w:rsid w:val="007529E3"/>
    <w:rsid w:val="00756D48"/>
    <w:rsid w:val="00764FD9"/>
    <w:rsid w:val="00773991"/>
    <w:rsid w:val="007740B2"/>
    <w:rsid w:val="00774C1F"/>
    <w:rsid w:val="007767E0"/>
    <w:rsid w:val="00780F6B"/>
    <w:rsid w:val="0078194F"/>
    <w:rsid w:val="007819ED"/>
    <w:rsid w:val="00783795"/>
    <w:rsid w:val="00791B7B"/>
    <w:rsid w:val="007934A4"/>
    <w:rsid w:val="00793E2E"/>
    <w:rsid w:val="0079774E"/>
    <w:rsid w:val="007A079B"/>
    <w:rsid w:val="007A0AC9"/>
    <w:rsid w:val="007A1B70"/>
    <w:rsid w:val="007A4CE0"/>
    <w:rsid w:val="007A57F6"/>
    <w:rsid w:val="007B0E7D"/>
    <w:rsid w:val="007B24A2"/>
    <w:rsid w:val="007B34A3"/>
    <w:rsid w:val="007B4FFB"/>
    <w:rsid w:val="007B6A9A"/>
    <w:rsid w:val="007B6CE9"/>
    <w:rsid w:val="007C0497"/>
    <w:rsid w:val="007C0BCE"/>
    <w:rsid w:val="007C1D1B"/>
    <w:rsid w:val="007C3566"/>
    <w:rsid w:val="007C794A"/>
    <w:rsid w:val="007C7E32"/>
    <w:rsid w:val="007D5326"/>
    <w:rsid w:val="007D5A33"/>
    <w:rsid w:val="007D7EF3"/>
    <w:rsid w:val="007E25B0"/>
    <w:rsid w:val="007E2EAD"/>
    <w:rsid w:val="007E4D51"/>
    <w:rsid w:val="007E4F3A"/>
    <w:rsid w:val="007E620F"/>
    <w:rsid w:val="007E663C"/>
    <w:rsid w:val="007E7795"/>
    <w:rsid w:val="0080066B"/>
    <w:rsid w:val="00803578"/>
    <w:rsid w:val="00807BB9"/>
    <w:rsid w:val="00815B8D"/>
    <w:rsid w:val="00815B8E"/>
    <w:rsid w:val="00816D99"/>
    <w:rsid w:val="00822CF0"/>
    <w:rsid w:val="0082324C"/>
    <w:rsid w:val="008236BD"/>
    <w:rsid w:val="00823D71"/>
    <w:rsid w:val="008245AF"/>
    <w:rsid w:val="008245F7"/>
    <w:rsid w:val="008256B9"/>
    <w:rsid w:val="00826108"/>
    <w:rsid w:val="00826285"/>
    <w:rsid w:val="008306EA"/>
    <w:rsid w:val="0083097B"/>
    <w:rsid w:val="00830C36"/>
    <w:rsid w:val="008368C5"/>
    <w:rsid w:val="0083705D"/>
    <w:rsid w:val="0084242F"/>
    <w:rsid w:val="008445FF"/>
    <w:rsid w:val="00845795"/>
    <w:rsid w:val="00845B0F"/>
    <w:rsid w:val="00847437"/>
    <w:rsid w:val="008510DE"/>
    <w:rsid w:val="00854F21"/>
    <w:rsid w:val="00864BC6"/>
    <w:rsid w:val="008658F0"/>
    <w:rsid w:val="00873066"/>
    <w:rsid w:val="00876355"/>
    <w:rsid w:val="0087694E"/>
    <w:rsid w:val="0088046E"/>
    <w:rsid w:val="00882024"/>
    <w:rsid w:val="00882E15"/>
    <w:rsid w:val="00883BAE"/>
    <w:rsid w:val="00883C73"/>
    <w:rsid w:val="00884B45"/>
    <w:rsid w:val="00886425"/>
    <w:rsid w:val="008901A2"/>
    <w:rsid w:val="00897464"/>
    <w:rsid w:val="008A08B0"/>
    <w:rsid w:val="008A09DE"/>
    <w:rsid w:val="008A52E2"/>
    <w:rsid w:val="008B0385"/>
    <w:rsid w:val="008B038C"/>
    <w:rsid w:val="008B1082"/>
    <w:rsid w:val="008B188E"/>
    <w:rsid w:val="008B19F8"/>
    <w:rsid w:val="008B2CEA"/>
    <w:rsid w:val="008B397C"/>
    <w:rsid w:val="008B47F4"/>
    <w:rsid w:val="008B4CF7"/>
    <w:rsid w:val="008B7448"/>
    <w:rsid w:val="008B7E1E"/>
    <w:rsid w:val="008C1757"/>
    <w:rsid w:val="008C2AE6"/>
    <w:rsid w:val="008C2DE8"/>
    <w:rsid w:val="008C334B"/>
    <w:rsid w:val="008C5113"/>
    <w:rsid w:val="008C5B8A"/>
    <w:rsid w:val="008D05F9"/>
    <w:rsid w:val="008D3D5F"/>
    <w:rsid w:val="008D4E81"/>
    <w:rsid w:val="008D505F"/>
    <w:rsid w:val="008D58D9"/>
    <w:rsid w:val="008E0F55"/>
    <w:rsid w:val="008E2EEE"/>
    <w:rsid w:val="008F129D"/>
    <w:rsid w:val="008F253F"/>
    <w:rsid w:val="008F2B69"/>
    <w:rsid w:val="008F593E"/>
    <w:rsid w:val="008F7F31"/>
    <w:rsid w:val="00900019"/>
    <w:rsid w:val="009023B1"/>
    <w:rsid w:val="00913BB7"/>
    <w:rsid w:val="0091414F"/>
    <w:rsid w:val="009147D6"/>
    <w:rsid w:val="00914D98"/>
    <w:rsid w:val="009160C8"/>
    <w:rsid w:val="009167B6"/>
    <w:rsid w:val="0092296A"/>
    <w:rsid w:val="00923680"/>
    <w:rsid w:val="00925F8C"/>
    <w:rsid w:val="00926064"/>
    <w:rsid w:val="00927324"/>
    <w:rsid w:val="00931EC7"/>
    <w:rsid w:val="00932ED7"/>
    <w:rsid w:val="00933990"/>
    <w:rsid w:val="00936783"/>
    <w:rsid w:val="009378BC"/>
    <w:rsid w:val="00941B22"/>
    <w:rsid w:val="00941B89"/>
    <w:rsid w:val="00941DEA"/>
    <w:rsid w:val="00944B90"/>
    <w:rsid w:val="0094743A"/>
    <w:rsid w:val="00955B9D"/>
    <w:rsid w:val="00961E2E"/>
    <w:rsid w:val="009656CC"/>
    <w:rsid w:val="009658BD"/>
    <w:rsid w:val="00967382"/>
    <w:rsid w:val="00970E8C"/>
    <w:rsid w:val="00971671"/>
    <w:rsid w:val="009727E8"/>
    <w:rsid w:val="00980D1D"/>
    <w:rsid w:val="009813C7"/>
    <w:rsid w:val="00981A37"/>
    <w:rsid w:val="00981D8A"/>
    <w:rsid w:val="009830B2"/>
    <w:rsid w:val="00983439"/>
    <w:rsid w:val="00984161"/>
    <w:rsid w:val="009855B8"/>
    <w:rsid w:val="0098676B"/>
    <w:rsid w:val="0099063E"/>
    <w:rsid w:val="00992356"/>
    <w:rsid w:val="00992674"/>
    <w:rsid w:val="0099391F"/>
    <w:rsid w:val="00993A14"/>
    <w:rsid w:val="00994793"/>
    <w:rsid w:val="00996AE3"/>
    <w:rsid w:val="009A0450"/>
    <w:rsid w:val="009A1E27"/>
    <w:rsid w:val="009A2598"/>
    <w:rsid w:val="009A307B"/>
    <w:rsid w:val="009A3E77"/>
    <w:rsid w:val="009B04E7"/>
    <w:rsid w:val="009B142F"/>
    <w:rsid w:val="009B14E8"/>
    <w:rsid w:val="009B2BAC"/>
    <w:rsid w:val="009B3139"/>
    <w:rsid w:val="009B4D21"/>
    <w:rsid w:val="009B5A73"/>
    <w:rsid w:val="009C16A4"/>
    <w:rsid w:val="009C520A"/>
    <w:rsid w:val="009C53EE"/>
    <w:rsid w:val="009C54C9"/>
    <w:rsid w:val="009C589C"/>
    <w:rsid w:val="009C5ADF"/>
    <w:rsid w:val="009D096C"/>
    <w:rsid w:val="009D192B"/>
    <w:rsid w:val="009D2582"/>
    <w:rsid w:val="009D33E1"/>
    <w:rsid w:val="009D3B45"/>
    <w:rsid w:val="009D3CA2"/>
    <w:rsid w:val="009D7CF9"/>
    <w:rsid w:val="009E1353"/>
    <w:rsid w:val="009E2CCC"/>
    <w:rsid w:val="009E2CDD"/>
    <w:rsid w:val="009E3518"/>
    <w:rsid w:val="009E366E"/>
    <w:rsid w:val="009E4CB3"/>
    <w:rsid w:val="009E539E"/>
    <w:rsid w:val="009E6FC4"/>
    <w:rsid w:val="009F00DC"/>
    <w:rsid w:val="009F02F0"/>
    <w:rsid w:val="009F0690"/>
    <w:rsid w:val="009F3199"/>
    <w:rsid w:val="009F3355"/>
    <w:rsid w:val="009F3648"/>
    <w:rsid w:val="009F36EC"/>
    <w:rsid w:val="009F3B7A"/>
    <w:rsid w:val="009F4651"/>
    <w:rsid w:val="009F54D0"/>
    <w:rsid w:val="00A02C9F"/>
    <w:rsid w:val="00A04523"/>
    <w:rsid w:val="00A12C41"/>
    <w:rsid w:val="00A1311A"/>
    <w:rsid w:val="00A16159"/>
    <w:rsid w:val="00A161E6"/>
    <w:rsid w:val="00A17885"/>
    <w:rsid w:val="00A2209B"/>
    <w:rsid w:val="00A2337D"/>
    <w:rsid w:val="00A25A31"/>
    <w:rsid w:val="00A30676"/>
    <w:rsid w:val="00A31430"/>
    <w:rsid w:val="00A31BBE"/>
    <w:rsid w:val="00A31D34"/>
    <w:rsid w:val="00A32349"/>
    <w:rsid w:val="00A333EF"/>
    <w:rsid w:val="00A33F85"/>
    <w:rsid w:val="00A37A44"/>
    <w:rsid w:val="00A37D1E"/>
    <w:rsid w:val="00A40645"/>
    <w:rsid w:val="00A528AE"/>
    <w:rsid w:val="00A5311D"/>
    <w:rsid w:val="00A53679"/>
    <w:rsid w:val="00A6016C"/>
    <w:rsid w:val="00A62325"/>
    <w:rsid w:val="00A64C9B"/>
    <w:rsid w:val="00A64CE2"/>
    <w:rsid w:val="00A71C89"/>
    <w:rsid w:val="00A74D5B"/>
    <w:rsid w:val="00A769B1"/>
    <w:rsid w:val="00A76B5C"/>
    <w:rsid w:val="00A778DE"/>
    <w:rsid w:val="00A77DA3"/>
    <w:rsid w:val="00A813A7"/>
    <w:rsid w:val="00A837D5"/>
    <w:rsid w:val="00A8392C"/>
    <w:rsid w:val="00A83E04"/>
    <w:rsid w:val="00A91091"/>
    <w:rsid w:val="00A93EE3"/>
    <w:rsid w:val="00A94BA9"/>
    <w:rsid w:val="00A97071"/>
    <w:rsid w:val="00AA0408"/>
    <w:rsid w:val="00AA1B62"/>
    <w:rsid w:val="00AA1BD0"/>
    <w:rsid w:val="00AA4970"/>
    <w:rsid w:val="00AA4B7B"/>
    <w:rsid w:val="00AA536D"/>
    <w:rsid w:val="00AA5930"/>
    <w:rsid w:val="00AB1A92"/>
    <w:rsid w:val="00AB22C0"/>
    <w:rsid w:val="00AB28FC"/>
    <w:rsid w:val="00AB43AF"/>
    <w:rsid w:val="00AB49E4"/>
    <w:rsid w:val="00AB5C87"/>
    <w:rsid w:val="00AB7D96"/>
    <w:rsid w:val="00AC1479"/>
    <w:rsid w:val="00AC2AAC"/>
    <w:rsid w:val="00AC40F1"/>
    <w:rsid w:val="00AC4432"/>
    <w:rsid w:val="00AC4C45"/>
    <w:rsid w:val="00AC58BB"/>
    <w:rsid w:val="00AD1085"/>
    <w:rsid w:val="00AD2AE2"/>
    <w:rsid w:val="00AD5B40"/>
    <w:rsid w:val="00AD6372"/>
    <w:rsid w:val="00AE013C"/>
    <w:rsid w:val="00AE0571"/>
    <w:rsid w:val="00AE4726"/>
    <w:rsid w:val="00AF0F23"/>
    <w:rsid w:val="00AF1771"/>
    <w:rsid w:val="00AF289F"/>
    <w:rsid w:val="00AF30B9"/>
    <w:rsid w:val="00AF43DF"/>
    <w:rsid w:val="00AF5590"/>
    <w:rsid w:val="00AF67A4"/>
    <w:rsid w:val="00AF7510"/>
    <w:rsid w:val="00B12D31"/>
    <w:rsid w:val="00B13968"/>
    <w:rsid w:val="00B15C02"/>
    <w:rsid w:val="00B15F6E"/>
    <w:rsid w:val="00B21BEE"/>
    <w:rsid w:val="00B23284"/>
    <w:rsid w:val="00B24633"/>
    <w:rsid w:val="00B25144"/>
    <w:rsid w:val="00B26118"/>
    <w:rsid w:val="00B32D01"/>
    <w:rsid w:val="00B33184"/>
    <w:rsid w:val="00B35AAC"/>
    <w:rsid w:val="00B37BAC"/>
    <w:rsid w:val="00B37D43"/>
    <w:rsid w:val="00B4061C"/>
    <w:rsid w:val="00B451BE"/>
    <w:rsid w:val="00B46F21"/>
    <w:rsid w:val="00B5066B"/>
    <w:rsid w:val="00B511A5"/>
    <w:rsid w:val="00B51CDE"/>
    <w:rsid w:val="00B53BC0"/>
    <w:rsid w:val="00B54B20"/>
    <w:rsid w:val="00B56541"/>
    <w:rsid w:val="00B605ED"/>
    <w:rsid w:val="00B60D17"/>
    <w:rsid w:val="00B62942"/>
    <w:rsid w:val="00B62DDC"/>
    <w:rsid w:val="00B71F97"/>
    <w:rsid w:val="00B72538"/>
    <w:rsid w:val="00B736A7"/>
    <w:rsid w:val="00B7651F"/>
    <w:rsid w:val="00B8036A"/>
    <w:rsid w:val="00B85695"/>
    <w:rsid w:val="00B86EFF"/>
    <w:rsid w:val="00B919FA"/>
    <w:rsid w:val="00B91CE1"/>
    <w:rsid w:val="00B94A16"/>
    <w:rsid w:val="00B97F8A"/>
    <w:rsid w:val="00BA0775"/>
    <w:rsid w:val="00BA6044"/>
    <w:rsid w:val="00BA683A"/>
    <w:rsid w:val="00BB0AA5"/>
    <w:rsid w:val="00BB1A93"/>
    <w:rsid w:val="00BB20A4"/>
    <w:rsid w:val="00BC14BF"/>
    <w:rsid w:val="00BC256D"/>
    <w:rsid w:val="00BC2625"/>
    <w:rsid w:val="00BC3200"/>
    <w:rsid w:val="00BC338A"/>
    <w:rsid w:val="00BD4973"/>
    <w:rsid w:val="00BD4BDE"/>
    <w:rsid w:val="00BD7AB0"/>
    <w:rsid w:val="00BE513D"/>
    <w:rsid w:val="00BE7524"/>
    <w:rsid w:val="00BE7809"/>
    <w:rsid w:val="00BE799D"/>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46DB"/>
    <w:rsid w:val="00C353AE"/>
    <w:rsid w:val="00C4194E"/>
    <w:rsid w:val="00C43CFF"/>
    <w:rsid w:val="00C457A9"/>
    <w:rsid w:val="00C4590C"/>
    <w:rsid w:val="00C4774B"/>
    <w:rsid w:val="00C516B1"/>
    <w:rsid w:val="00C5350C"/>
    <w:rsid w:val="00C5658D"/>
    <w:rsid w:val="00C56E09"/>
    <w:rsid w:val="00C57580"/>
    <w:rsid w:val="00C57B4F"/>
    <w:rsid w:val="00C60634"/>
    <w:rsid w:val="00C61B1B"/>
    <w:rsid w:val="00C6446C"/>
    <w:rsid w:val="00C646E3"/>
    <w:rsid w:val="00C66AB7"/>
    <w:rsid w:val="00C673D1"/>
    <w:rsid w:val="00C72C38"/>
    <w:rsid w:val="00C746CB"/>
    <w:rsid w:val="00C7530D"/>
    <w:rsid w:val="00C77BBF"/>
    <w:rsid w:val="00C77D64"/>
    <w:rsid w:val="00C81564"/>
    <w:rsid w:val="00C9061F"/>
    <w:rsid w:val="00C9080C"/>
    <w:rsid w:val="00C94429"/>
    <w:rsid w:val="00C972B8"/>
    <w:rsid w:val="00CA013A"/>
    <w:rsid w:val="00CA0525"/>
    <w:rsid w:val="00CA18FD"/>
    <w:rsid w:val="00CA27E5"/>
    <w:rsid w:val="00CA4815"/>
    <w:rsid w:val="00CA4897"/>
    <w:rsid w:val="00CA4960"/>
    <w:rsid w:val="00CA68BD"/>
    <w:rsid w:val="00CA6928"/>
    <w:rsid w:val="00CB3D3F"/>
    <w:rsid w:val="00CB5A1A"/>
    <w:rsid w:val="00CB719F"/>
    <w:rsid w:val="00CC4916"/>
    <w:rsid w:val="00CC58CB"/>
    <w:rsid w:val="00CC59E6"/>
    <w:rsid w:val="00CD5BDD"/>
    <w:rsid w:val="00CE248C"/>
    <w:rsid w:val="00CE2FF5"/>
    <w:rsid w:val="00CE5385"/>
    <w:rsid w:val="00CF0799"/>
    <w:rsid w:val="00CF096B"/>
    <w:rsid w:val="00CF10F7"/>
    <w:rsid w:val="00CF3735"/>
    <w:rsid w:val="00CF421A"/>
    <w:rsid w:val="00CF4725"/>
    <w:rsid w:val="00CF5EE3"/>
    <w:rsid w:val="00CF60A8"/>
    <w:rsid w:val="00CF691F"/>
    <w:rsid w:val="00D00D99"/>
    <w:rsid w:val="00D013A4"/>
    <w:rsid w:val="00D026DC"/>
    <w:rsid w:val="00D07F6D"/>
    <w:rsid w:val="00D1223B"/>
    <w:rsid w:val="00D132D4"/>
    <w:rsid w:val="00D14185"/>
    <w:rsid w:val="00D15245"/>
    <w:rsid w:val="00D15595"/>
    <w:rsid w:val="00D168A3"/>
    <w:rsid w:val="00D170C7"/>
    <w:rsid w:val="00D20041"/>
    <w:rsid w:val="00D23992"/>
    <w:rsid w:val="00D260D8"/>
    <w:rsid w:val="00D343A8"/>
    <w:rsid w:val="00D37832"/>
    <w:rsid w:val="00D41510"/>
    <w:rsid w:val="00D43FE5"/>
    <w:rsid w:val="00D44574"/>
    <w:rsid w:val="00D44860"/>
    <w:rsid w:val="00D44C5E"/>
    <w:rsid w:val="00D46201"/>
    <w:rsid w:val="00D47689"/>
    <w:rsid w:val="00D47C87"/>
    <w:rsid w:val="00D501CE"/>
    <w:rsid w:val="00D50C42"/>
    <w:rsid w:val="00D57CF5"/>
    <w:rsid w:val="00D612BC"/>
    <w:rsid w:val="00D6283A"/>
    <w:rsid w:val="00D62F98"/>
    <w:rsid w:val="00D637D4"/>
    <w:rsid w:val="00D65AE8"/>
    <w:rsid w:val="00D66FD6"/>
    <w:rsid w:val="00D754AA"/>
    <w:rsid w:val="00D76F82"/>
    <w:rsid w:val="00D76FFF"/>
    <w:rsid w:val="00D81DE1"/>
    <w:rsid w:val="00D8285B"/>
    <w:rsid w:val="00D845C7"/>
    <w:rsid w:val="00D851E1"/>
    <w:rsid w:val="00D862EB"/>
    <w:rsid w:val="00D86619"/>
    <w:rsid w:val="00D87363"/>
    <w:rsid w:val="00D93E7C"/>
    <w:rsid w:val="00D9404C"/>
    <w:rsid w:val="00D94480"/>
    <w:rsid w:val="00D96B4E"/>
    <w:rsid w:val="00DA25CF"/>
    <w:rsid w:val="00DA2746"/>
    <w:rsid w:val="00DA38C2"/>
    <w:rsid w:val="00DA62BB"/>
    <w:rsid w:val="00DB2BE6"/>
    <w:rsid w:val="00DB68D5"/>
    <w:rsid w:val="00DB76B3"/>
    <w:rsid w:val="00DC77A6"/>
    <w:rsid w:val="00DD1052"/>
    <w:rsid w:val="00DD3C7B"/>
    <w:rsid w:val="00DE2B21"/>
    <w:rsid w:val="00DE39A7"/>
    <w:rsid w:val="00DE48DE"/>
    <w:rsid w:val="00DF25F2"/>
    <w:rsid w:val="00DF4166"/>
    <w:rsid w:val="00E000F4"/>
    <w:rsid w:val="00E01231"/>
    <w:rsid w:val="00E02C15"/>
    <w:rsid w:val="00E04279"/>
    <w:rsid w:val="00E04E11"/>
    <w:rsid w:val="00E065B5"/>
    <w:rsid w:val="00E06B17"/>
    <w:rsid w:val="00E11393"/>
    <w:rsid w:val="00E125D9"/>
    <w:rsid w:val="00E15882"/>
    <w:rsid w:val="00E16D30"/>
    <w:rsid w:val="00E20DDF"/>
    <w:rsid w:val="00E232A5"/>
    <w:rsid w:val="00E24657"/>
    <w:rsid w:val="00E272A7"/>
    <w:rsid w:val="00E31E69"/>
    <w:rsid w:val="00E33169"/>
    <w:rsid w:val="00E34A7B"/>
    <w:rsid w:val="00E35744"/>
    <w:rsid w:val="00E35D36"/>
    <w:rsid w:val="00E4083F"/>
    <w:rsid w:val="00E40973"/>
    <w:rsid w:val="00E545FF"/>
    <w:rsid w:val="00E6080E"/>
    <w:rsid w:val="00E64168"/>
    <w:rsid w:val="00E655B3"/>
    <w:rsid w:val="00E7081D"/>
    <w:rsid w:val="00E70904"/>
    <w:rsid w:val="00E71319"/>
    <w:rsid w:val="00E72DB8"/>
    <w:rsid w:val="00E75171"/>
    <w:rsid w:val="00E763C0"/>
    <w:rsid w:val="00E804B0"/>
    <w:rsid w:val="00E8175B"/>
    <w:rsid w:val="00E84420"/>
    <w:rsid w:val="00E85691"/>
    <w:rsid w:val="00E86772"/>
    <w:rsid w:val="00E90B8B"/>
    <w:rsid w:val="00E91287"/>
    <w:rsid w:val="00E93ADD"/>
    <w:rsid w:val="00E952D8"/>
    <w:rsid w:val="00E95FC8"/>
    <w:rsid w:val="00E969B6"/>
    <w:rsid w:val="00EA3593"/>
    <w:rsid w:val="00EB00E4"/>
    <w:rsid w:val="00EB0D3F"/>
    <w:rsid w:val="00EB238B"/>
    <w:rsid w:val="00EB28DA"/>
    <w:rsid w:val="00EB3812"/>
    <w:rsid w:val="00EB3B72"/>
    <w:rsid w:val="00EB44EB"/>
    <w:rsid w:val="00EB66B8"/>
    <w:rsid w:val="00EB791E"/>
    <w:rsid w:val="00EC3A5B"/>
    <w:rsid w:val="00EC4770"/>
    <w:rsid w:val="00EC56A5"/>
    <w:rsid w:val="00EC70A9"/>
    <w:rsid w:val="00ED2560"/>
    <w:rsid w:val="00ED4C3A"/>
    <w:rsid w:val="00EE1B1F"/>
    <w:rsid w:val="00EE1C85"/>
    <w:rsid w:val="00EF21D9"/>
    <w:rsid w:val="00EF2A94"/>
    <w:rsid w:val="00EF32FB"/>
    <w:rsid w:val="00EF3E9E"/>
    <w:rsid w:val="00EF44B1"/>
    <w:rsid w:val="00EF4865"/>
    <w:rsid w:val="00EF5954"/>
    <w:rsid w:val="00EF6A40"/>
    <w:rsid w:val="00F01C4E"/>
    <w:rsid w:val="00F04511"/>
    <w:rsid w:val="00F05FBE"/>
    <w:rsid w:val="00F100D2"/>
    <w:rsid w:val="00F12942"/>
    <w:rsid w:val="00F13C41"/>
    <w:rsid w:val="00F1413D"/>
    <w:rsid w:val="00F14886"/>
    <w:rsid w:val="00F16421"/>
    <w:rsid w:val="00F201EE"/>
    <w:rsid w:val="00F20C2A"/>
    <w:rsid w:val="00F20C6F"/>
    <w:rsid w:val="00F22086"/>
    <w:rsid w:val="00F26639"/>
    <w:rsid w:val="00F30B59"/>
    <w:rsid w:val="00F35AA0"/>
    <w:rsid w:val="00F43C49"/>
    <w:rsid w:val="00F446F9"/>
    <w:rsid w:val="00F45C12"/>
    <w:rsid w:val="00F46C09"/>
    <w:rsid w:val="00F501CB"/>
    <w:rsid w:val="00F50908"/>
    <w:rsid w:val="00F52180"/>
    <w:rsid w:val="00F544A2"/>
    <w:rsid w:val="00F57F3D"/>
    <w:rsid w:val="00F60F92"/>
    <w:rsid w:val="00F63D65"/>
    <w:rsid w:val="00F6411F"/>
    <w:rsid w:val="00F73D03"/>
    <w:rsid w:val="00F76CB9"/>
    <w:rsid w:val="00F77A73"/>
    <w:rsid w:val="00F80E46"/>
    <w:rsid w:val="00F85CE9"/>
    <w:rsid w:val="00F95077"/>
    <w:rsid w:val="00F96236"/>
    <w:rsid w:val="00F9785E"/>
    <w:rsid w:val="00FA00F1"/>
    <w:rsid w:val="00FA10CE"/>
    <w:rsid w:val="00FA1E94"/>
    <w:rsid w:val="00FA222F"/>
    <w:rsid w:val="00FA2891"/>
    <w:rsid w:val="00FA7A0C"/>
    <w:rsid w:val="00FB0DD7"/>
    <w:rsid w:val="00FB1397"/>
    <w:rsid w:val="00FB693D"/>
    <w:rsid w:val="00FB708B"/>
    <w:rsid w:val="00FB73BB"/>
    <w:rsid w:val="00FB76A8"/>
    <w:rsid w:val="00FB7768"/>
    <w:rsid w:val="00FC5321"/>
    <w:rsid w:val="00FC553A"/>
    <w:rsid w:val="00FC7489"/>
    <w:rsid w:val="00FD1BA8"/>
    <w:rsid w:val="00FD218F"/>
    <w:rsid w:val="00FD27D0"/>
    <w:rsid w:val="00FD5663"/>
    <w:rsid w:val="00FD56C6"/>
    <w:rsid w:val="00FE1244"/>
    <w:rsid w:val="00FE3221"/>
    <w:rsid w:val="00FE48EA"/>
    <w:rsid w:val="00FE5384"/>
    <w:rsid w:val="00FE571F"/>
    <w:rsid w:val="00FF0EC0"/>
    <w:rsid w:val="00FF47F6"/>
    <w:rsid w:val="016E63C2"/>
    <w:rsid w:val="024B0C39"/>
    <w:rsid w:val="0A8128A6"/>
    <w:rsid w:val="0BF32A1B"/>
    <w:rsid w:val="10BD2C22"/>
    <w:rsid w:val="22987C80"/>
    <w:rsid w:val="24192CCC"/>
    <w:rsid w:val="39A66CD4"/>
    <w:rsid w:val="3CD52CE1"/>
    <w:rsid w:val="410F2E6A"/>
    <w:rsid w:val="4430136C"/>
    <w:rsid w:val="4AB0382B"/>
    <w:rsid w:val="4FE460F5"/>
    <w:rsid w:val="569868B5"/>
    <w:rsid w:val="5B162641"/>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character" w:customStyle="1" w:styleId="23">
    <w:name w:val="fontstyle01"/>
    <w:basedOn w:val="9"/>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642</Words>
  <Characters>715</Characters>
  <Lines>31</Lines>
  <Paragraphs>8</Paragraphs>
  <TotalTime>1</TotalTime>
  <ScaleCrop>false</ScaleCrop>
  <LinksUpToDate>false</LinksUpToDate>
  <CharactersWithSpaces>721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Bunny</cp:lastModifiedBy>
  <cp:lastPrinted>2024-03-13T15:27:00Z</cp:lastPrinted>
  <dcterms:modified xsi:type="dcterms:W3CDTF">2025-03-25T09:18:13Z</dcterms:modified>
  <cp:revision>581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3AFE07D672524C788450DD09CE029DE8_12</vt:lpwstr>
  </property>
  <property fmtid="{D5CDD505-2E9C-101B-9397-08002B2CF9AE}" pid="4" name="KSOTemplateDocerSaveRecord">
    <vt:lpwstr>eyJoZGlkIjoiNDdlNDJlMDIyZmViNDhlZTgwN2VlNzEwZjJiM2RhODkiLCJ1c2VySWQiOiIzMDQxMjA0MDkifQ==</vt:lpwstr>
  </property>
</Properties>
</file>