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340" w:after="330" w:line="578" w:lineRule="auto"/>
        <w:jc w:val="center"/>
        <w:outlineLvl w:val="0"/>
        <w:rPr>
          <w:rFonts w:ascii="Calibri" w:hAnsi="Calibri" w:eastAsia="宋体" w:cs="Times New Roman"/>
          <w:b/>
          <w:bCs/>
          <w:kern w:val="44"/>
          <w:sz w:val="28"/>
          <w:szCs w:val="28"/>
        </w:rPr>
      </w:pP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438150</wp:posOffset>
                </wp:positionH>
                <wp:positionV relativeFrom="page">
                  <wp:posOffset>361315</wp:posOffset>
                </wp:positionV>
                <wp:extent cx="2635250" cy="280670"/>
                <wp:effectExtent l="0" t="0" r="0" b="5080"/>
                <wp:wrapNone/>
                <wp:docPr id="35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SJQU-QR-JW-033（A0）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34.5pt;margin-top:28.4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F9j8sLUAAAACQEA&#10;AA8AAAAAAAAAAQAgAAAAIgAAAGRycy9kb3ducmV2LnhtbFBLAQIUABQAAAAIAIdO4kAx6EZ+VwIA&#10;AJYEAAAOAAAAAAAAAAEAIAAAACM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SJQU-QR-JW-033（A0）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Calibri" w:hAnsi="Calibri" w:eastAsia="宋体" w:cs="Times New Roman"/>
          <w:b/>
          <w:bCs/>
          <w:kern w:val="44"/>
          <w:sz w:val="28"/>
          <w:szCs w:val="28"/>
        </w:rPr>
        <w:t>【</w:t>
      </w:r>
      <w:r>
        <w:rPr>
          <w:rFonts w:ascii="Calibri" w:hAnsi="Calibri" w:eastAsia="宋体" w:cs="Times New Roman"/>
          <w:b/>
          <w:bCs/>
          <w:kern w:val="44"/>
          <w:sz w:val="28"/>
          <w:szCs w:val="28"/>
        </w:rPr>
        <w:t>日语听力中级</w:t>
      </w:r>
      <w:r>
        <w:rPr>
          <w:rFonts w:hint="eastAsia" w:ascii="宋体" w:hAnsi="宋体" w:eastAsia="宋体" w:cs="宋体"/>
          <w:b/>
          <w:bCs/>
          <w:kern w:val="44"/>
          <w:sz w:val="28"/>
          <w:szCs w:val="28"/>
        </w:rPr>
        <w:t>Ⅰ</w:t>
      </w:r>
      <w:r>
        <w:rPr>
          <w:rFonts w:hint="eastAsia" w:ascii="Calibri" w:hAnsi="Calibri" w:eastAsia="宋体" w:cs="Times New Roman"/>
          <w:b/>
          <w:bCs/>
          <w:kern w:val="44"/>
          <w:sz w:val="28"/>
          <w:szCs w:val="28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eastAsia="宋体" w:cs="Arial"/>
          <w:color w:val="888888"/>
          <w:kern w:val="0"/>
          <w:sz w:val="20"/>
          <w:szCs w:val="20"/>
        </w:rPr>
      </w:pPr>
      <w:r>
        <w:rPr>
          <w:rFonts w:hint="eastAsia" w:ascii="Calibri" w:hAnsi="Calibri" w:eastAsia="宋体" w:cs="Times New Roman"/>
          <w:b/>
          <w:sz w:val="28"/>
          <w:szCs w:val="30"/>
        </w:rPr>
        <w:t>【</w:t>
      </w:r>
      <w:r>
        <w:rPr>
          <w:rFonts w:ascii="Calibri" w:hAnsi="Calibri" w:eastAsia="宋体" w:cs="Times New Roman"/>
          <w:b/>
          <w:kern w:val="0"/>
          <w:sz w:val="28"/>
          <w:szCs w:val="30"/>
        </w:rPr>
        <w:t>Japanese Intermediate Listening</w:t>
      </w:r>
      <w:r>
        <w:rPr>
          <w:rFonts w:ascii="Calibri" w:hAnsi="Calibri" w:eastAsia="宋体" w:cs="Times New Roman"/>
          <w:b/>
          <w:sz w:val="28"/>
          <w:szCs w:val="30"/>
        </w:rPr>
        <w:t xml:space="preserve"> </w:t>
      </w:r>
      <w:r>
        <w:rPr>
          <w:rFonts w:ascii="宋体" w:hAnsi="宋体" w:eastAsia="宋体" w:cs="宋体"/>
          <w:b/>
          <w:sz w:val="28"/>
          <w:szCs w:val="30"/>
        </w:rPr>
        <w:t>Ⅰ</w:t>
      </w:r>
      <w:r>
        <w:rPr>
          <w:rFonts w:hint="eastAsia" w:ascii="Calibri" w:hAnsi="Calibri" w:eastAsia="宋体" w:cs="Times New Roman"/>
          <w:b/>
          <w:sz w:val="28"/>
          <w:szCs w:val="30"/>
        </w:rPr>
        <w:t>】</w:t>
      </w:r>
    </w:p>
    <w:p>
      <w:pPr>
        <w:spacing w:before="156" w:beforeLines="50" w:after="156" w:afterLines="50" w:line="288" w:lineRule="auto"/>
        <w:ind w:firstLine="360" w:firstLineChars="150"/>
        <w:rPr>
          <w:rFonts w:ascii="Calibri" w:hAnsi="Calibri" w:eastAsia="宋体" w:cs="Times New Roman"/>
          <w:b/>
          <w:color w:val="008080"/>
          <w:sz w:val="30"/>
          <w:szCs w:val="30"/>
        </w:rPr>
      </w:pPr>
      <w:r>
        <w:rPr>
          <w:rFonts w:ascii="黑体" w:hAnsi="宋体" w:eastAsia="黑体" w:cs="Times New Roman"/>
          <w:sz w:val="24"/>
        </w:rPr>
        <w:t>一</w:t>
      </w:r>
      <w:r>
        <w:rPr>
          <w:rFonts w:hint="eastAsia" w:ascii="黑体" w:hAnsi="宋体" w:eastAsia="黑体" w:cs="Times New Roman"/>
          <w:sz w:val="24"/>
        </w:rPr>
        <w:t>、</w:t>
      </w:r>
      <w:r>
        <w:rPr>
          <w:rFonts w:ascii="黑体" w:hAnsi="宋体" w:eastAsia="黑体" w:cs="Times New Roman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rFonts w:ascii="Calibri" w:hAnsi="Calibri" w:eastAsia="宋体" w:cs="Times New Roman"/>
          <w:color w:val="000000"/>
          <w:sz w:val="20"/>
          <w:szCs w:val="20"/>
        </w:rPr>
      </w:pPr>
      <w:r>
        <w:rPr>
          <w:rFonts w:ascii="Calibri" w:hAnsi="Calibri" w:eastAsia="宋体" w:cs="Times New Roman"/>
          <w:b/>
          <w:bCs/>
          <w:color w:val="000000"/>
          <w:sz w:val="20"/>
          <w:szCs w:val="20"/>
        </w:rPr>
        <w:t>课程代码：</w:t>
      </w:r>
      <w:r>
        <w:rPr>
          <w:rFonts w:ascii="Calibri" w:hAnsi="Calibri" w:eastAsia="宋体" w:cs="Times New Roman"/>
          <w:color w:val="000000"/>
          <w:sz w:val="20"/>
          <w:szCs w:val="20"/>
        </w:rPr>
        <w:t>【</w:t>
      </w:r>
      <w:r>
        <w:rPr>
          <w:rFonts w:hint="eastAsia" w:ascii="Calibri" w:hAnsi="Calibri" w:eastAsia="宋体" w:cs="Times New Roman"/>
          <w:color w:val="000000"/>
          <w:sz w:val="20"/>
          <w:szCs w:val="20"/>
        </w:rPr>
        <w:t>0145012</w:t>
      </w:r>
      <w:r>
        <w:rPr>
          <w:rFonts w:ascii="Calibri" w:hAnsi="Calibri" w:eastAsia="宋体" w:cs="Times New Roman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ascii="Calibri" w:hAnsi="Calibri" w:eastAsia="宋体" w:cs="Times New Roman"/>
          <w:color w:val="000000"/>
          <w:szCs w:val="21"/>
        </w:rPr>
      </w:pPr>
      <w:r>
        <w:rPr>
          <w:rFonts w:ascii="Calibri" w:hAnsi="Calibri" w:eastAsia="宋体" w:cs="Times New Roman"/>
          <w:b/>
          <w:bCs/>
          <w:color w:val="000000"/>
          <w:sz w:val="20"/>
          <w:szCs w:val="20"/>
        </w:rPr>
        <w:t>课程学分：</w:t>
      </w:r>
      <w:r>
        <w:rPr>
          <w:rFonts w:ascii="Calibri" w:hAnsi="Calibri" w:eastAsia="宋体" w:cs="Times New Roman"/>
          <w:color w:val="000000"/>
          <w:sz w:val="20"/>
          <w:szCs w:val="20"/>
        </w:rPr>
        <w:t>【</w:t>
      </w:r>
      <w:r>
        <w:rPr>
          <w:rFonts w:hint="eastAsia" w:ascii="Calibri" w:hAnsi="Calibri" w:eastAsia="宋体" w:cs="Times New Roman"/>
          <w:color w:val="000000"/>
          <w:sz w:val="20"/>
          <w:szCs w:val="20"/>
        </w:rPr>
        <w:t>2</w:t>
      </w:r>
      <w:r>
        <w:rPr>
          <w:rFonts w:ascii="Calibri" w:hAnsi="Calibri" w:eastAsia="宋体" w:cs="Times New Roman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ascii="Calibri" w:hAnsi="Calibri" w:eastAsia="宋体" w:cs="Times New Roman"/>
          <w:color w:val="000000"/>
          <w:szCs w:val="21"/>
        </w:rPr>
      </w:pPr>
      <w:r>
        <w:rPr>
          <w:rFonts w:ascii="Calibri" w:hAnsi="Calibri" w:eastAsia="宋体" w:cs="Times New Roman"/>
          <w:b/>
          <w:bCs/>
          <w:color w:val="000000"/>
          <w:sz w:val="20"/>
          <w:szCs w:val="20"/>
        </w:rPr>
        <w:t>面向专业：</w:t>
      </w:r>
      <w:r>
        <w:rPr>
          <w:rFonts w:ascii="Calibri" w:hAnsi="Calibri" w:eastAsia="宋体" w:cs="Times New Roman"/>
          <w:color w:val="000000"/>
          <w:sz w:val="20"/>
          <w:szCs w:val="20"/>
        </w:rPr>
        <w:t>【</w:t>
      </w:r>
      <w:r>
        <w:rPr>
          <w:rFonts w:hint="eastAsia" w:ascii="Calibri" w:hAnsi="Calibri" w:eastAsia="宋体" w:cs="Times New Roman"/>
          <w:sz w:val="20"/>
          <w:szCs w:val="20"/>
        </w:rPr>
        <w:t>商务日语、计算机</w:t>
      </w:r>
      <w:r>
        <w:rPr>
          <w:rFonts w:ascii="Calibri" w:hAnsi="Calibri" w:eastAsia="宋体" w:cs="Times New Roman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ascii="Calibri" w:hAnsi="Calibri" w:eastAsia="宋体" w:cs="Times New Roman"/>
          <w:color w:val="000000"/>
          <w:sz w:val="20"/>
          <w:szCs w:val="20"/>
        </w:rPr>
      </w:pPr>
      <w:r>
        <w:rPr>
          <w:rFonts w:ascii="Calibri" w:hAnsi="Calibri" w:eastAsia="宋体" w:cs="Times New Roman"/>
          <w:b/>
          <w:bCs/>
          <w:color w:val="000000"/>
          <w:sz w:val="20"/>
          <w:szCs w:val="20"/>
        </w:rPr>
        <w:t>课程性质：</w:t>
      </w:r>
      <w:r>
        <w:rPr>
          <w:rFonts w:ascii="Calibri" w:hAnsi="Calibri" w:eastAsia="宋体" w:cs="Times New Roman"/>
          <w:color w:val="000000"/>
          <w:sz w:val="20"/>
          <w:szCs w:val="20"/>
        </w:rPr>
        <w:t>【</w:t>
      </w:r>
      <w:r>
        <w:rPr>
          <w:rFonts w:hint="eastAsia" w:ascii="Calibri" w:hAnsi="Calibri" w:eastAsia="宋体" w:cs="Times New Roman"/>
          <w:color w:val="000000"/>
          <w:sz w:val="20"/>
          <w:szCs w:val="20"/>
        </w:rPr>
        <w:t>院级必修课</w:t>
      </w:r>
      <w:r>
        <w:rPr>
          <w:rFonts w:ascii="Calibri" w:hAnsi="Calibri" w:eastAsia="宋体" w:cs="Times New Roman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ascii="Calibri" w:hAnsi="Calibri" w:eastAsia="宋体" w:cs="Times New Roman"/>
          <w:b/>
          <w:bCs/>
          <w:color w:val="000000"/>
          <w:szCs w:val="21"/>
        </w:rPr>
      </w:pPr>
      <w:r>
        <w:rPr>
          <w:rFonts w:ascii="Calibri" w:hAnsi="Calibri" w:eastAsia="宋体" w:cs="Times New Roman"/>
          <w:b/>
          <w:bCs/>
          <w:color w:val="000000"/>
          <w:sz w:val="20"/>
          <w:szCs w:val="20"/>
        </w:rPr>
        <w:t>开课院系：</w:t>
      </w:r>
      <w:r>
        <w:rPr>
          <w:rFonts w:hint="eastAsia" w:ascii="Calibri" w:hAnsi="Calibri" w:eastAsia="宋体" w:cs="Times New Roman"/>
          <w:color w:val="000000"/>
          <w:sz w:val="20"/>
          <w:szCs w:val="20"/>
        </w:rPr>
        <w:t>国际教育学院日语教学中心</w:t>
      </w:r>
      <w:r>
        <w:rPr>
          <w:rFonts w:ascii="Calibri" w:hAnsi="Calibri" w:eastAsia="宋体" w:cs="Times New Roman"/>
          <w:b/>
          <w:bCs/>
          <w:color w:val="000000"/>
          <w:szCs w:val="21"/>
        </w:rPr>
        <w:t xml:space="preserve"> </w:t>
      </w:r>
    </w:p>
    <w:p>
      <w:pPr>
        <w:snapToGrid w:val="0"/>
        <w:spacing w:line="288" w:lineRule="auto"/>
        <w:ind w:firstLine="394" w:firstLineChars="196"/>
        <w:rPr>
          <w:rFonts w:ascii="Calibri" w:hAnsi="Calibri" w:eastAsia="宋体" w:cs="Times New Roman"/>
          <w:color w:val="000000"/>
          <w:sz w:val="20"/>
          <w:szCs w:val="20"/>
        </w:rPr>
      </w:pPr>
      <w:r>
        <w:rPr>
          <w:rFonts w:ascii="Calibri" w:hAnsi="Calibri" w:eastAsia="宋体" w:cs="Times New Roman"/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rFonts w:ascii="Calibri" w:hAnsi="Calibri" w:eastAsia="宋体" w:cs="Times New Roman"/>
          <w:color w:val="000000"/>
          <w:szCs w:val="21"/>
        </w:rPr>
      </w:pPr>
      <w:r>
        <w:rPr>
          <w:rFonts w:ascii="Calibri" w:hAnsi="Calibri" w:eastAsia="宋体" w:cs="Times New Roman"/>
          <w:color w:val="000000"/>
          <w:sz w:val="20"/>
          <w:szCs w:val="20"/>
        </w:rPr>
        <w:t>教材【</w:t>
      </w:r>
      <w:r>
        <w:rPr>
          <w:rFonts w:hint="eastAsia" w:ascii="Calibri" w:hAnsi="Calibri" w:eastAsia="宋体" w:cs="Times New Roman"/>
          <w:color w:val="000000"/>
          <w:sz w:val="20"/>
          <w:szCs w:val="20"/>
        </w:rPr>
        <w:t>《新经典日语本听力教程 第二册 第二版》，苏君业，外语教学与研究出版社，2019.11</w:t>
      </w:r>
      <w:r>
        <w:rPr>
          <w:rFonts w:ascii="Calibri" w:hAnsi="Calibri" w:eastAsia="宋体" w:cs="Times New Roman"/>
          <w:color w:val="000000"/>
          <w:sz w:val="20"/>
          <w:szCs w:val="20"/>
        </w:rPr>
        <w:t>】</w:t>
      </w:r>
    </w:p>
    <w:p>
      <w:pPr>
        <w:adjustRightInd w:val="0"/>
        <w:snapToGrid w:val="0"/>
        <w:spacing w:line="300" w:lineRule="auto"/>
        <w:ind w:firstLine="800" w:firstLineChars="400"/>
        <w:rPr>
          <w:rFonts w:ascii="Calibri" w:hAnsi="Calibri" w:eastAsia="宋体" w:cs="Times New Roman"/>
          <w:sz w:val="20"/>
          <w:szCs w:val="20"/>
        </w:rPr>
      </w:pPr>
      <w:r>
        <w:rPr>
          <w:rFonts w:hint="eastAsia" w:ascii="Calibri" w:hAnsi="Calibri" w:eastAsia="宋体" w:cs="Times New Roman"/>
          <w:color w:val="000000"/>
          <w:sz w:val="20"/>
          <w:szCs w:val="20"/>
        </w:rPr>
        <w:t>参考书目【</w:t>
      </w:r>
      <w:r>
        <w:rPr>
          <w:rFonts w:ascii="Calibri" w:hAnsi="Calibri" w:eastAsia="宋体" w:cs="Times New Roman"/>
          <w:sz w:val="20"/>
          <w:szCs w:val="20"/>
        </w:rPr>
        <w:t>《日本语听力（入门篇）》</w:t>
      </w:r>
      <w:r>
        <w:rPr>
          <w:rFonts w:hint="eastAsia" w:ascii="Calibri" w:hAnsi="Calibri" w:eastAsia="宋体" w:cs="Times New Roman"/>
          <w:sz w:val="20"/>
          <w:szCs w:val="20"/>
        </w:rPr>
        <w:t>，</w:t>
      </w:r>
      <w:r>
        <w:rPr>
          <w:rFonts w:ascii="Calibri" w:hAnsi="Calibri" w:eastAsia="宋体" w:cs="Times New Roman"/>
          <w:sz w:val="20"/>
          <w:szCs w:val="20"/>
        </w:rPr>
        <w:t>沙秀程主编</w:t>
      </w:r>
      <w:r>
        <w:rPr>
          <w:rFonts w:hint="eastAsia" w:ascii="Calibri" w:hAnsi="Calibri" w:eastAsia="宋体" w:cs="Times New Roman"/>
          <w:sz w:val="20"/>
          <w:szCs w:val="20"/>
        </w:rPr>
        <w:t>，</w:t>
      </w:r>
      <w:r>
        <w:rPr>
          <w:rFonts w:ascii="Calibri" w:hAnsi="Calibri" w:eastAsia="宋体" w:cs="Times New Roman"/>
          <w:sz w:val="20"/>
          <w:szCs w:val="20"/>
        </w:rPr>
        <w:t>华东师范大学出版社，2001</w:t>
      </w:r>
    </w:p>
    <w:p>
      <w:pPr>
        <w:adjustRightInd w:val="0"/>
        <w:snapToGrid w:val="0"/>
        <w:spacing w:line="300" w:lineRule="auto"/>
        <w:ind w:firstLine="600" w:firstLineChars="300"/>
        <w:rPr>
          <w:rFonts w:ascii="Calibri" w:hAnsi="Calibri" w:eastAsia="宋体" w:cs="Times New Roman"/>
          <w:sz w:val="20"/>
          <w:szCs w:val="20"/>
        </w:rPr>
      </w:pPr>
      <w:r>
        <w:rPr>
          <w:rFonts w:ascii="Calibri" w:hAnsi="Calibri" w:eastAsia="宋体" w:cs="Times New Roman"/>
          <w:sz w:val="20"/>
        </w:rPr>
        <w:t>《日语听力</w:t>
      </w:r>
      <w:r>
        <w:rPr>
          <w:rFonts w:hint="eastAsia" w:ascii="Calibri" w:hAnsi="Calibri" w:eastAsia="宋体" w:cs="Times New Roman"/>
          <w:sz w:val="20"/>
        </w:rPr>
        <w:t>3</w:t>
      </w:r>
      <w:r>
        <w:rPr>
          <w:rFonts w:ascii="Calibri" w:hAnsi="Calibri" w:eastAsia="宋体" w:cs="Times New Roman"/>
          <w:sz w:val="20"/>
        </w:rPr>
        <w:t>》</w:t>
      </w:r>
      <w:r>
        <w:rPr>
          <w:rFonts w:hint="eastAsia" w:ascii="Calibri" w:hAnsi="Calibri" w:eastAsia="宋体" w:cs="Times New Roman"/>
          <w:sz w:val="20"/>
        </w:rPr>
        <w:t>，张鸿成，张明明，钱力奋总主编，大连理工大学出版社</w:t>
      </w:r>
    </w:p>
    <w:p>
      <w:pPr>
        <w:adjustRightInd w:val="0"/>
        <w:snapToGrid w:val="0"/>
        <w:spacing w:line="300" w:lineRule="auto"/>
        <w:ind w:firstLine="600" w:firstLineChars="300"/>
        <w:rPr>
          <w:rFonts w:ascii="Calibri" w:hAnsi="Calibri" w:eastAsia="宋体" w:cs="Times New Roman"/>
          <w:sz w:val="20"/>
          <w:szCs w:val="20"/>
        </w:rPr>
      </w:pPr>
      <w:r>
        <w:rPr>
          <w:rFonts w:hint="eastAsia" w:ascii="Calibri" w:hAnsi="Calibri" w:eastAsia="宋体" w:cs="Times New Roman"/>
          <w:sz w:val="20"/>
          <w:szCs w:val="20"/>
        </w:rPr>
        <w:t>《综合日语3》，</w:t>
      </w:r>
      <w:r>
        <w:rPr>
          <w:rFonts w:hint="eastAsia" w:ascii="Calibri" w:hAnsi="Calibri" w:eastAsia="宋体" w:cs="Times New Roman"/>
          <w:sz w:val="20"/>
        </w:rPr>
        <w:t>张鸿成，张明明，钱力奋总主编，大连理工大学出版社</w:t>
      </w:r>
      <w:r>
        <w:rPr>
          <w:rFonts w:hint="eastAsia" w:ascii="Calibri" w:hAnsi="Calibri" w:eastAsia="宋体" w:cs="Times New Roman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jc w:val="left"/>
        <w:rPr>
          <w:rFonts w:ascii="Calibri" w:hAnsi="Calibri" w:eastAsia="宋体" w:cs="Times New Roman"/>
          <w:color w:val="000000"/>
          <w:sz w:val="20"/>
          <w:szCs w:val="20"/>
          <w:highlight w:val="yellow"/>
        </w:rPr>
      </w:pPr>
      <w:r>
        <w:rPr>
          <w:rFonts w:hint="eastAsia" w:ascii="Calibri" w:hAnsi="Calibri" w:eastAsia="宋体" w:cs="Times New Roman"/>
          <w:b/>
          <w:bCs/>
          <w:color w:val="000000"/>
          <w:sz w:val="20"/>
          <w:szCs w:val="20"/>
        </w:rPr>
        <w:t>课程网站：</w:t>
      </w:r>
      <w:r>
        <w:rPr>
          <w:rFonts w:ascii="Calibri" w:hAnsi="Calibri" w:eastAsia="宋体" w:cs="Times New Roman"/>
          <w:color w:val="000000"/>
          <w:sz w:val="20"/>
          <w:szCs w:val="20"/>
        </w:rPr>
        <w:t>https://elearning.gench.edu.cn:8443/webapps/blackboard/execute/modulepage/view?course_id=_4631_1&amp;cmp_tab_id=_4911_1&amp;mode=view</w:t>
      </w:r>
    </w:p>
    <w:p>
      <w:pPr>
        <w:adjustRightInd w:val="0"/>
        <w:snapToGrid w:val="0"/>
        <w:spacing w:line="288" w:lineRule="auto"/>
        <w:ind w:firstLine="394" w:firstLineChars="196"/>
        <w:rPr>
          <w:rFonts w:ascii="Calibri" w:hAnsi="Calibri" w:eastAsia="宋体" w:cs="Times New Roman"/>
          <w:color w:val="000000"/>
          <w:sz w:val="20"/>
          <w:szCs w:val="20"/>
        </w:rPr>
      </w:pPr>
      <w:r>
        <w:rPr>
          <w:rFonts w:ascii="Calibri" w:hAnsi="Calibri" w:eastAsia="宋体" w:cs="Times New Roman"/>
          <w:b/>
          <w:bCs/>
          <w:color w:val="000000"/>
          <w:sz w:val="20"/>
          <w:szCs w:val="20"/>
        </w:rPr>
        <w:t>先修课程：</w:t>
      </w:r>
      <w:r>
        <w:rPr>
          <w:rFonts w:ascii="Calibri" w:hAnsi="Calibri" w:eastAsia="宋体" w:cs="Times New Roman"/>
          <w:color w:val="000000"/>
          <w:sz w:val="20"/>
          <w:szCs w:val="20"/>
        </w:rPr>
        <w:t>【</w:t>
      </w:r>
      <w:r>
        <w:rPr>
          <w:rFonts w:hint="eastAsia" w:ascii="Calibri" w:hAnsi="Calibri" w:eastAsia="宋体" w:cs="Times New Roman"/>
          <w:color w:val="000000"/>
          <w:sz w:val="20"/>
          <w:szCs w:val="20"/>
        </w:rPr>
        <w:t>日语听力初级</w:t>
      </w:r>
      <w:r>
        <w:rPr>
          <w:rFonts w:ascii="宋体" w:hAnsi="宋体" w:eastAsia="宋体" w:cs="宋体"/>
          <w:color w:val="000000"/>
          <w:sz w:val="20"/>
          <w:szCs w:val="20"/>
        </w:rPr>
        <w:t>Ⅱ</w:t>
      </w:r>
      <w:r>
        <w:rPr>
          <w:rFonts w:ascii="Calibri" w:hAnsi="Calibri" w:eastAsia="宋体" w:cs="Times New Roman"/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rFonts w:ascii="Calibri" w:hAnsi="Calibri" w:eastAsia="宋体" w:cs="Times New Roman"/>
          <w:color w:val="000000"/>
          <w:sz w:val="20"/>
          <w:szCs w:val="20"/>
        </w:rPr>
      </w:pPr>
      <w:r>
        <w:rPr>
          <w:rFonts w:ascii="黑体" w:hAnsi="宋体" w:eastAsia="黑体" w:cs="Times New Roman"/>
          <w:sz w:val="24"/>
        </w:rPr>
        <w:t>二</w:t>
      </w:r>
      <w:r>
        <w:rPr>
          <w:rFonts w:hint="eastAsia" w:ascii="黑体" w:hAnsi="宋体" w:eastAsia="黑体" w:cs="Times New Roman"/>
          <w:sz w:val="24"/>
        </w:rPr>
        <w:t>、</w:t>
      </w:r>
      <w:r>
        <w:rPr>
          <w:rFonts w:ascii="黑体" w:hAnsi="宋体" w:eastAsia="黑体" w:cs="Times New Roman"/>
          <w:sz w:val="24"/>
        </w:rPr>
        <w:t>课程简介</w:t>
      </w:r>
    </w:p>
    <w:p>
      <w:pPr>
        <w:widowControl/>
        <w:adjustRightInd w:val="0"/>
        <w:snapToGrid w:val="0"/>
        <w:spacing w:before="156" w:beforeLines="50" w:after="156" w:afterLines="50" w:line="288" w:lineRule="auto"/>
        <w:ind w:firstLine="400" w:firstLineChars="200"/>
        <w:jc w:val="left"/>
        <w:rPr>
          <w:rFonts w:ascii="Calibri" w:hAnsi="Calibri" w:eastAsia="宋体" w:cs="Times New Roman"/>
          <w:color w:val="000000"/>
          <w:sz w:val="20"/>
          <w:szCs w:val="20"/>
        </w:rPr>
      </w:pPr>
      <w:r>
        <w:rPr>
          <w:rFonts w:hint="eastAsia" w:ascii="Calibri" w:hAnsi="Calibri" w:eastAsia="宋体" w:cs="Times New Roman"/>
          <w:sz w:val="20"/>
          <w:szCs w:val="20"/>
        </w:rPr>
        <w:t>听、说、读、写、译是日语教学五大基本技能，听力在日语学习中占有十分重要的地位，也是学生学习中的一个难点。事实上，要真正掌握日语，听力的基本功训练不可或缺；听解能力的提高也有助于日语综合能力的提高。因此，我们开设了日语听力这门课程。外语教学的目的在于培养学生用外语进行交际的能力，要达到这一目的，除了掌握书本上的知识以外，最基本的就是要听懂，而后才能开口交流。本课程的开设为学生创造一个日语原版的语音环境，使学生在不断的练习中掌握一定的听力技巧，学会模仿日本人的日常会话，为进一步开始交际实践训练打好基础。本课程为日语听力课程的第三册，主要为日语专业专科二年级下的学生所设，要求学生在扎实掌握前两册的听力练习后，在听力方面更上一个层次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 w:cs="Times New Roman"/>
          <w:sz w:val="24"/>
        </w:rPr>
      </w:pPr>
      <w:r>
        <w:rPr>
          <w:rFonts w:ascii="黑体" w:hAnsi="宋体" w:eastAsia="黑体" w:cs="Times New Roman"/>
          <w:sz w:val="24"/>
        </w:rPr>
        <w:t>三</w:t>
      </w:r>
      <w:r>
        <w:rPr>
          <w:rFonts w:hint="eastAsia" w:ascii="黑体" w:hAnsi="宋体" w:eastAsia="黑体" w:cs="Times New Roman"/>
          <w:sz w:val="24"/>
        </w:rPr>
        <w:t>、</w:t>
      </w:r>
      <w:r>
        <w:rPr>
          <w:rFonts w:ascii="黑体" w:hAnsi="宋体" w:eastAsia="黑体" w:cs="Times New Roman"/>
          <w:sz w:val="24"/>
        </w:rPr>
        <w:t>选课建议</w:t>
      </w:r>
    </w:p>
    <w:p>
      <w:pPr>
        <w:adjustRightInd w:val="0"/>
        <w:snapToGrid w:val="0"/>
        <w:spacing w:line="300" w:lineRule="auto"/>
        <w:ind w:firstLine="400" w:firstLineChars="200"/>
        <w:rPr>
          <w:rFonts w:ascii="Calibri" w:hAnsi="Calibri" w:eastAsia="宋体" w:cs="Times New Roman"/>
          <w:sz w:val="20"/>
          <w:szCs w:val="20"/>
        </w:rPr>
      </w:pPr>
      <w:r>
        <w:rPr>
          <w:rFonts w:ascii="Calibri" w:hAnsi="Calibri" w:eastAsia="宋体" w:cs="Times New Roman"/>
          <w:sz w:val="20"/>
          <w:szCs w:val="20"/>
        </w:rPr>
        <w:t>本课程为</w:t>
      </w:r>
      <w:r>
        <w:rPr>
          <w:rFonts w:hint="eastAsia" w:ascii="Calibri" w:hAnsi="Calibri" w:eastAsia="宋体" w:cs="Times New Roman"/>
          <w:sz w:val="20"/>
          <w:szCs w:val="20"/>
        </w:rPr>
        <w:t>商务日语和计算机专业二年级</w:t>
      </w:r>
      <w:r>
        <w:rPr>
          <w:rFonts w:ascii="Calibri" w:hAnsi="Calibri" w:eastAsia="宋体" w:cs="Times New Roman"/>
          <w:sz w:val="20"/>
          <w:szCs w:val="20"/>
        </w:rPr>
        <w:t>第</w:t>
      </w:r>
      <w:r>
        <w:rPr>
          <w:rFonts w:hint="eastAsia" w:ascii="Calibri" w:hAnsi="Calibri" w:eastAsia="宋体" w:cs="Times New Roman"/>
          <w:sz w:val="20"/>
          <w:szCs w:val="20"/>
        </w:rPr>
        <w:t>4</w:t>
      </w:r>
      <w:r>
        <w:rPr>
          <w:rFonts w:ascii="Calibri" w:hAnsi="Calibri" w:eastAsia="宋体" w:cs="Times New Roman"/>
          <w:sz w:val="20"/>
          <w:szCs w:val="20"/>
        </w:rPr>
        <w:t>学期开设。与基础日语课程同步，训练日语听力能力，为后续课程打下基础。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 w:cs="Times New Roman"/>
          <w:sz w:val="24"/>
        </w:rPr>
      </w:pPr>
      <w:r>
        <w:rPr>
          <w:rFonts w:ascii="黑体" w:hAnsi="宋体" w:eastAsia="黑体" w:cs="Times New Roman"/>
          <w:sz w:val="24"/>
        </w:rPr>
        <w:t>四</w:t>
      </w:r>
      <w:r>
        <w:rPr>
          <w:rFonts w:hint="eastAsia" w:ascii="黑体" w:hAnsi="宋体" w:eastAsia="黑体" w:cs="Times New Roman"/>
          <w:sz w:val="24"/>
        </w:rPr>
        <w:t>、</w:t>
      </w:r>
      <w:r>
        <w:rPr>
          <w:rFonts w:ascii="黑体" w:hAnsi="宋体" w:eastAsia="黑体" w:cs="Times New Roman"/>
          <w:sz w:val="24"/>
        </w:rPr>
        <w:t>课程与</w:t>
      </w:r>
      <w:r>
        <w:rPr>
          <w:rFonts w:hint="eastAsia" w:ascii="黑体" w:hAnsi="宋体" w:eastAsia="黑体" w:cs="Times New Roman"/>
          <w:sz w:val="24"/>
        </w:rPr>
        <w:t>专业毕业要求</w:t>
      </w:r>
      <w:r>
        <w:rPr>
          <w:rFonts w:ascii="黑体" w:hAnsi="宋体" w:eastAsia="黑体" w:cs="Times New Roman"/>
          <w:sz w:val="24"/>
        </w:rPr>
        <w:t>的关联性</w:t>
      </w:r>
    </w:p>
    <w:tbl>
      <w:tblPr>
        <w:tblStyle w:val="4"/>
        <w:tblW w:w="8422" w:type="dxa"/>
        <w:tblInd w:w="-14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762"/>
        <w:gridCol w:w="6379"/>
        <w:gridCol w:w="6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7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L011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LO111</w:t>
            </w:r>
          </w:p>
        </w:tc>
        <w:tc>
          <w:tcPr>
            <w:tcW w:w="6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LO112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L021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LO211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LO212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L031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L0311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L0312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L0313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L0314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L0315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L032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L0321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了解语言学的一般理论，以及语言学研究的发展与现状。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L0322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透彻分析日语语素、词汇及语法结构，能对语法现象进行分析归纳与总结。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L0323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了解日本文学史上不同时期的重要作家及其代表作品。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L0324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具备阅读、欣赏、理解日本文学原著的能力，掌握文学批评的基本知识和方法。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L033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LO331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LO332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L034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LO341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LO342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L041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LO411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LO412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LO413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LO414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L051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LO511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LO512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B05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LO513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B05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LO514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B05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L061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LO611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LO612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LO613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L071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LO711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LO712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LO713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LO714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L081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L0811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L0812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L0813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 w:cs="Times New Roman"/>
          <w:sz w:val="24"/>
        </w:rPr>
      </w:pPr>
      <w:r>
        <w:rPr>
          <w:rFonts w:hint="eastAsia" w:ascii="黑体" w:hAnsi="宋体" w:eastAsia="黑体" w:cs="Times New Roman"/>
          <w:sz w:val="24"/>
        </w:rPr>
        <w:t>五、</w:t>
      </w:r>
      <w:r>
        <w:rPr>
          <w:rFonts w:ascii="黑体" w:hAnsi="宋体" w:eastAsia="黑体" w:cs="Times New Roman"/>
          <w:sz w:val="24"/>
        </w:rPr>
        <w:t>课程</w:t>
      </w:r>
      <w:r>
        <w:rPr>
          <w:rFonts w:hint="eastAsia" w:ascii="黑体" w:hAnsi="宋体" w:eastAsia="黑体" w:cs="Times New Roman"/>
          <w:sz w:val="24"/>
        </w:rPr>
        <w:t>目标/课程预期学习成果</w:t>
      </w:r>
    </w:p>
    <w:tbl>
      <w:tblPr>
        <w:tblStyle w:val="4"/>
        <w:tblpPr w:leftFromText="180" w:rightFromText="180" w:vertAnchor="text" w:horzAnchor="page" w:tblpXSpec="center" w:tblpY="152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3218"/>
        <w:gridCol w:w="311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Calibri" w:hAnsi="Calibri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Calibri" w:hAnsi="Calibri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rFonts w:ascii="Calibri" w:hAnsi="Calibri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321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Calibri" w:hAnsi="Calibri" w:eastAsia="宋体" w:cs="Times New Roman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rFonts w:ascii="Calibri" w:hAnsi="Calibri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Calibri" w:hAnsi="Calibri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Calibri" w:hAnsi="Calibri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LO111</w:t>
            </w:r>
          </w:p>
        </w:tc>
        <w:tc>
          <w:tcPr>
            <w:tcW w:w="3218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0"/>
              </w:rPr>
              <w:t>能够集中注意力，保持较长时间地倾听说话人的说话内容</w:t>
            </w:r>
          </w:p>
        </w:tc>
        <w:tc>
          <w:tcPr>
            <w:tcW w:w="3118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="Calibri" w:hAnsi="Calibri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0"/>
              </w:rPr>
              <w:t>课上进行听力练习，营造真实的听力环境，让学生倾听地道的日语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="Calibri" w:hAnsi="Calibri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0"/>
              </w:rPr>
              <w:t>课堂提问与小组讨论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2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LO311</w:t>
            </w:r>
          </w:p>
        </w:tc>
        <w:tc>
          <w:tcPr>
            <w:tcW w:w="3218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="Calibri" w:hAnsi="Calibri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0"/>
              </w:rPr>
              <w:t>能听懂听力材料，把握信息内容，并理解说话人的信息、意图、情感</w:t>
            </w:r>
          </w:p>
        </w:tc>
        <w:tc>
          <w:tcPr>
            <w:tcW w:w="3118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="黑体" w:hAnsi="宋体" w:eastAsia="黑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0"/>
              </w:rPr>
              <w:t>课堂上进行听力练习，让学生通过辨听获取具体信息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="Calibri" w:hAnsi="Calibri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0"/>
              </w:rPr>
              <w:t>课堂提问与课后作业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18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="Calibri" w:hAnsi="Calibri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0"/>
              </w:rPr>
              <w:t>能用自然得体的语言进行交流，表达自己的想法</w:t>
            </w:r>
          </w:p>
        </w:tc>
        <w:tc>
          <w:tcPr>
            <w:tcW w:w="3118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="Calibri" w:hAnsi="Calibri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0"/>
              </w:rPr>
              <w:t>听说结合，让学生用得体的语言回答设问并进行小组讨论与交流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="Calibri" w:hAnsi="Calibri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0"/>
              </w:rPr>
              <w:t>课堂讨论与口头表达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L0613</w:t>
            </w:r>
          </w:p>
        </w:tc>
        <w:tc>
          <w:tcPr>
            <w:tcW w:w="3218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="Calibri" w:hAnsi="Calibri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0"/>
              </w:rPr>
              <w:t>熟练使用计算机，使用办公软件</w:t>
            </w:r>
          </w:p>
        </w:tc>
        <w:tc>
          <w:tcPr>
            <w:tcW w:w="3118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="Calibri" w:hAnsi="Calibri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0"/>
              </w:rPr>
              <w:t>课上能利用语音教室的设备回答问题，进行小组讨论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="Calibri" w:hAnsi="Calibri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0"/>
              </w:rPr>
              <w:t>课堂表现</w:t>
            </w:r>
          </w:p>
        </w:tc>
      </w:tr>
    </w:tbl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 w:cs="Times New Roman"/>
          <w:sz w:val="24"/>
          <w:lang w:eastAsia="ja-JP"/>
        </w:rPr>
      </w:pPr>
      <w:r>
        <w:rPr>
          <w:rFonts w:hint="eastAsia" w:ascii="黑体" w:hAnsi="宋体" w:eastAsia="黑体" w:cs="Times New Roman"/>
          <w:sz w:val="24"/>
          <w:lang w:eastAsia="ja-JP"/>
        </w:rPr>
        <w:t>六、</w:t>
      </w:r>
      <w:r>
        <w:rPr>
          <w:rFonts w:ascii="黑体" w:hAnsi="宋体" w:eastAsia="黑体" w:cs="Times New Roman"/>
          <w:sz w:val="24"/>
          <w:lang w:eastAsia="ja-JP"/>
        </w:rPr>
        <w:t>课程内容</w:t>
      </w:r>
    </w:p>
    <w:p>
      <w:pPr>
        <w:snapToGrid w:val="0"/>
        <w:spacing w:line="288" w:lineRule="auto"/>
        <w:ind w:firstLine="367" w:firstLineChars="175"/>
        <w:rPr>
          <w:rFonts w:ascii="宋体" w:hAnsi="Calibri" w:eastAsia="宋体" w:cs="Times New Roman"/>
          <w:bCs/>
          <w:color w:val="000000"/>
          <w:szCs w:val="21"/>
        </w:rPr>
      </w:pPr>
      <w:r>
        <w:rPr>
          <w:rFonts w:hint="eastAsia" w:ascii="宋体" w:hAnsi="宋体" w:eastAsia="宋体" w:cs="Times New Roman"/>
          <w:bCs/>
          <w:color w:val="000000"/>
          <w:szCs w:val="21"/>
        </w:rPr>
        <w:t>本课程总课时为</w:t>
      </w:r>
      <w:r>
        <w:rPr>
          <w:rFonts w:ascii="宋体" w:hAnsi="宋体" w:eastAsia="宋体" w:cs="Times New Roman"/>
          <w:bCs/>
          <w:color w:val="000000"/>
          <w:szCs w:val="21"/>
        </w:rPr>
        <w:t>32</w:t>
      </w:r>
      <w:r>
        <w:rPr>
          <w:rFonts w:hint="eastAsia" w:ascii="宋体" w:hAnsi="宋体" w:eastAsia="宋体" w:cs="Times New Roman"/>
          <w:bCs/>
          <w:color w:val="000000"/>
          <w:szCs w:val="21"/>
        </w:rPr>
        <w:t>学时，其中；理论学时为</w:t>
      </w:r>
      <w:r>
        <w:rPr>
          <w:rFonts w:ascii="宋体" w:hAnsi="Calibri" w:eastAsia="宋体" w:cs="Times New Roman"/>
          <w:bCs/>
          <w:color w:val="000000"/>
          <w:szCs w:val="21"/>
        </w:rPr>
        <w:t>0</w:t>
      </w:r>
      <w:r>
        <w:rPr>
          <w:rFonts w:hint="eastAsia" w:ascii="宋体" w:hAnsi="宋体" w:eastAsia="宋体" w:cs="Times New Roman"/>
          <w:bCs/>
          <w:color w:val="000000"/>
          <w:szCs w:val="21"/>
        </w:rPr>
        <w:t>，实践学时为</w:t>
      </w:r>
      <w:r>
        <w:rPr>
          <w:rFonts w:ascii="宋体" w:hAnsi="宋体" w:eastAsia="宋体" w:cs="Times New Roman"/>
          <w:bCs/>
          <w:color w:val="000000"/>
          <w:szCs w:val="21"/>
        </w:rPr>
        <w:t>32</w:t>
      </w:r>
      <w:r>
        <w:rPr>
          <w:rFonts w:hint="eastAsia" w:ascii="宋体" w:hAnsi="宋体" w:eastAsia="宋体" w:cs="Times New Roman"/>
          <w:bCs/>
          <w:color w:val="000000"/>
          <w:szCs w:val="21"/>
        </w:rPr>
        <w:t>。</w:t>
      </w:r>
    </w:p>
    <w:tbl>
      <w:tblPr>
        <w:tblStyle w:val="5"/>
        <w:tblpPr w:leftFromText="180" w:rightFromText="180" w:vertAnchor="text" w:horzAnchor="margin" w:tblpXSpec="center" w:tblpY="37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850"/>
        <w:gridCol w:w="2381"/>
        <w:gridCol w:w="3544"/>
        <w:gridCol w:w="709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单元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内容</w:t>
            </w:r>
          </w:p>
        </w:tc>
        <w:tc>
          <w:tcPr>
            <w:tcW w:w="238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知识点构成</w:t>
            </w:r>
          </w:p>
        </w:tc>
        <w:tc>
          <w:tcPr>
            <w:tcW w:w="354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教学重难点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理论课时</w:t>
            </w:r>
          </w:p>
        </w:tc>
        <w:tc>
          <w:tcPr>
            <w:tcW w:w="70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实践课时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关键词</w:t>
            </w:r>
          </w:p>
        </w:tc>
        <w:tc>
          <w:tcPr>
            <w:tcW w:w="2381" w:type="dxa"/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1"/>
              </w:rPr>
              <w:t>功能词、基本表达、</w:t>
            </w:r>
            <w:r>
              <w:rPr>
                <w:rFonts w:hint="eastAsia" w:ascii="MS Mincho" w:hAnsi="MS Mincho" w:eastAsia="宋体" w:cs="Times New Roman"/>
                <w:bCs/>
                <w:kern w:val="0"/>
                <w:sz w:val="20"/>
                <w:szCs w:val="21"/>
              </w:rPr>
              <w:t>短句填空、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1"/>
              </w:rPr>
              <w:t>会话练习与发表</w:t>
            </w:r>
          </w:p>
        </w:tc>
        <w:tc>
          <w:tcPr>
            <w:tcW w:w="3544" w:type="dxa"/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要求学生能够理解本课会话，课文中出现的关键词。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2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句型</w:t>
            </w:r>
          </w:p>
        </w:tc>
        <w:tc>
          <w:tcPr>
            <w:tcW w:w="2381" w:type="dxa"/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1"/>
              </w:rPr>
              <w:t>功能词、基本表达、</w:t>
            </w:r>
            <w:r>
              <w:rPr>
                <w:rFonts w:hint="eastAsia" w:ascii="MS Mincho" w:hAnsi="MS Mincho" w:eastAsia="宋体" w:cs="Times New Roman"/>
                <w:bCs/>
                <w:kern w:val="0"/>
                <w:sz w:val="20"/>
                <w:szCs w:val="21"/>
              </w:rPr>
              <w:t>短句填空、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1"/>
              </w:rPr>
              <w:t>会话练习与发表</w:t>
            </w:r>
          </w:p>
        </w:tc>
        <w:tc>
          <w:tcPr>
            <w:tcW w:w="3544" w:type="dxa"/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要求学生够理解掌握本课会话，课文中出现的句型，能听懂句型表达的意思。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会话部分</w:t>
            </w:r>
          </w:p>
        </w:tc>
        <w:tc>
          <w:tcPr>
            <w:tcW w:w="2381" w:type="dxa"/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1"/>
              </w:rPr>
              <w:t>功能词、基本表达、例句、会话文、会话练习与发表</w:t>
            </w:r>
          </w:p>
        </w:tc>
        <w:tc>
          <w:tcPr>
            <w:tcW w:w="3544" w:type="dxa"/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由5组8个会话构成，训练学生通过听会话，做出正确的选择和应答的能力。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文章部分</w:t>
            </w:r>
          </w:p>
        </w:tc>
        <w:tc>
          <w:tcPr>
            <w:tcW w:w="2381" w:type="dxa"/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MS Mincho" w:hAnsi="MS Mincho" w:eastAsia="宋体" w:cs="Times New Roman"/>
                <w:bCs/>
                <w:kern w:val="0"/>
                <w:sz w:val="20"/>
                <w:szCs w:val="21"/>
              </w:rPr>
              <w:t>功能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1"/>
              </w:rPr>
              <w:t>词、基本表达、例句、会话文、会话练习与发表</w:t>
            </w:r>
          </w:p>
        </w:tc>
        <w:tc>
          <w:tcPr>
            <w:tcW w:w="3544" w:type="dxa"/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由一篇400-700字左右的文章构成。听过2-3遍播放录音，使学生理解课文的基本内容，回答相应的选择及填空题。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独自完成的部分</w:t>
            </w:r>
          </w:p>
        </w:tc>
        <w:tc>
          <w:tcPr>
            <w:tcW w:w="2381" w:type="dxa"/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MS Mincho" w:hAnsi="MS Mincho" w:eastAsia="宋体" w:cs="Times New Roman"/>
                <w:bCs/>
                <w:kern w:val="0"/>
                <w:sz w:val="20"/>
                <w:szCs w:val="21"/>
              </w:rPr>
              <w:t>功能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1"/>
              </w:rPr>
              <w:t>词、基本表达、运用短文完成会话及填空、会话练习与发表</w:t>
            </w:r>
          </w:p>
        </w:tc>
        <w:tc>
          <w:tcPr>
            <w:tcW w:w="3544" w:type="dxa"/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由一篇与课文内容互相关联的文章构成。建议学生在课后独立完成。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单词</w:t>
            </w:r>
          </w:p>
        </w:tc>
        <w:tc>
          <w:tcPr>
            <w:tcW w:w="2381" w:type="dxa"/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1"/>
              </w:rPr>
              <w:t>功能词、基本表达、例句、运用短文完成会话及填空、会话练习与发表会话</w:t>
            </w:r>
          </w:p>
        </w:tc>
        <w:tc>
          <w:tcPr>
            <w:tcW w:w="3544" w:type="dxa"/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列出了本课出现的单词。要求学生知道。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日本文化小知识</w:t>
            </w:r>
          </w:p>
        </w:tc>
        <w:tc>
          <w:tcPr>
            <w:tcW w:w="2381" w:type="dxa"/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1"/>
              </w:rPr>
              <w:t>功能词、基本表达、例句、模拟滚动练习进行会话练习与发表</w:t>
            </w:r>
          </w:p>
        </w:tc>
        <w:tc>
          <w:tcPr>
            <w:tcW w:w="3544" w:type="dxa"/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通过阅读日本文化知识小文章，使学生对日本和学习日语产生兴趣。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日本文化小知识</w:t>
            </w:r>
          </w:p>
        </w:tc>
        <w:tc>
          <w:tcPr>
            <w:tcW w:w="2381" w:type="dxa"/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1"/>
              </w:rPr>
              <w:t>功能词、基本表达、</w:t>
            </w:r>
            <w:r>
              <w:rPr>
                <w:rFonts w:hint="eastAsia" w:ascii="MS Mincho" w:hAnsi="MS Mincho" w:eastAsia="宋体" w:cs="Times New Roman"/>
                <w:bCs/>
                <w:kern w:val="0"/>
                <w:sz w:val="20"/>
                <w:szCs w:val="21"/>
              </w:rPr>
              <w:t>短句填空、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1"/>
              </w:rPr>
              <w:t>会话练习与发表</w:t>
            </w:r>
          </w:p>
        </w:tc>
        <w:tc>
          <w:tcPr>
            <w:tcW w:w="3544" w:type="dxa"/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通过阅读日本文化知识小文章，使学生对日本和学习日语产生兴趣。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4</w:t>
            </w:r>
          </w:p>
        </w:tc>
      </w:tr>
    </w:tbl>
    <w:p>
      <w:pPr>
        <w:snapToGrid w:val="0"/>
        <w:spacing w:line="288" w:lineRule="auto"/>
        <w:ind w:right="26" w:firstLine="480" w:firstLineChars="200"/>
        <w:rPr>
          <w:rFonts w:ascii="黑体" w:hAnsi="宋体" w:eastAsia="黑体" w:cs="Times New Roman"/>
          <w:sz w:val="24"/>
        </w:rPr>
      </w:pPr>
    </w:p>
    <w:p>
      <w:pPr>
        <w:snapToGrid w:val="0"/>
        <w:spacing w:line="288" w:lineRule="auto"/>
        <w:ind w:right="26" w:firstLine="480" w:firstLineChars="200"/>
        <w:rPr>
          <w:rFonts w:ascii="黑体" w:hAnsi="宋体" w:eastAsia="黑体" w:cs="Times New Roman"/>
          <w:sz w:val="24"/>
        </w:rPr>
      </w:pPr>
      <w:r>
        <w:rPr>
          <w:rFonts w:hint="eastAsia" w:ascii="黑体" w:hAnsi="宋体" w:eastAsia="黑体" w:cs="Times New Roman"/>
          <w:sz w:val="24"/>
        </w:rPr>
        <w:t>七、实践环节各阶段名称及基本要求</w:t>
      </w:r>
    </w:p>
    <w:tbl>
      <w:tblPr>
        <w:tblStyle w:val="4"/>
        <w:tblW w:w="951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681"/>
        <w:gridCol w:w="4337"/>
        <w:gridCol w:w="1100"/>
        <w:gridCol w:w="999"/>
        <w:gridCol w:w="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序号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15" w:firstLineChars="150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各阶段名称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945" w:firstLineChars="450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实践主要内容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实验类型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周数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1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听说实践1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MS Mincho" w:hAnsi="MS Mincho" w:eastAsia="MS Mincho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表示个人愿望；表示个人、团体、组织的决定或规定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 w:hAnsi="Calibri" w:eastAsia="宋体" w:cs="Times New Roman"/>
                <w:szCs w:val="21"/>
                <w:lang w:eastAsia="ja-JP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综合型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2周</w:t>
            </w: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2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听说实践2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MS Mincho" w:hAnsi="MS Mincho" w:eastAsia="MS Mincho" w:cs="Times New Roman"/>
                <w:bCs/>
                <w:szCs w:val="21"/>
                <w:lang w:eastAsia="ja-JP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表示功能、机能、功效；表示人物能力、可能性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 w:hAnsi="Calibri" w:eastAsia="宋体" w:cs="Times New Roman"/>
                <w:szCs w:val="21"/>
                <w:lang w:eastAsia="ja-JP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综合型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2周</w:t>
            </w: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3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听说实践3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人物外貌、喜好、观念的变化；事物的发生、发展以及结果的变化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综合型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2周</w:t>
            </w: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4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听说实践4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人物的动作、行为；事物状况、结果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综合型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2周</w:t>
            </w: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5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听说实践5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校园生活中被许可和禁止的行为；公共场合中被许可和禁止的行为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综合型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2周</w:t>
            </w: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6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听说实践6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动作、行为的目的或动机；对他人发出的命令、指令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综合型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2周</w:t>
            </w: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7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听说实践7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日常生活中与赠送礼物有关的信息；授受关系中包含的信息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综合型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2周</w:t>
            </w: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8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听说实践8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人物的样态、物体的状态；即将发生的动作、行为、比喻、例举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综合型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2周</w:t>
            </w: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 w:hAnsi="Calibri" w:eastAsia="宋体" w:cs="Times New Roman"/>
                <w:szCs w:val="21"/>
              </w:rPr>
            </w:pPr>
          </w:p>
        </w:tc>
      </w:tr>
    </w:tbl>
    <w:p>
      <w:pPr>
        <w:snapToGrid w:val="0"/>
        <w:spacing w:line="288" w:lineRule="auto"/>
        <w:ind w:right="2520"/>
        <w:rPr>
          <w:rFonts w:ascii="黑体" w:hAnsi="宋体" w:eastAsia="黑体" w:cs="Times New Roman"/>
          <w:sz w:val="24"/>
        </w:rPr>
      </w:pPr>
    </w:p>
    <w:p>
      <w:pPr>
        <w:snapToGrid w:val="0"/>
        <w:spacing w:line="288" w:lineRule="auto"/>
        <w:ind w:right="2520" w:firstLine="480" w:firstLineChars="200"/>
        <w:rPr>
          <w:rFonts w:ascii="Calibri" w:hAnsi="Calibri" w:eastAsia="宋体" w:cs="Times New Roman"/>
          <w:sz w:val="20"/>
          <w:szCs w:val="20"/>
        </w:rPr>
      </w:pPr>
      <w:r>
        <w:rPr>
          <w:rFonts w:hint="eastAsia" w:ascii="黑体" w:hAnsi="宋体" w:eastAsia="黑体" w:cs="Times New Roman"/>
          <w:sz w:val="24"/>
        </w:rPr>
        <w:t>八、评价方式与成绩</w:t>
      </w:r>
    </w:p>
    <w:tbl>
      <w:tblPr>
        <w:tblStyle w:val="4"/>
        <w:tblpPr w:leftFromText="180" w:rightFromText="180" w:vertAnchor="text" w:horzAnchor="margin" w:tblpY="200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 w:eastAsia="宋体" w:cs="Times New Roman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0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0"/>
              </w:rPr>
              <w:t>15%</w:t>
            </w:r>
          </w:p>
        </w:tc>
      </w:tr>
    </w:tbl>
    <w:p>
      <w:pPr>
        <w:snapToGrid w:val="0"/>
        <w:spacing w:line="288" w:lineRule="auto"/>
        <w:ind w:firstLine="280" w:firstLineChars="1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撰写人：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郑芳</w:t>
      </w:r>
      <w:r>
        <w:rPr>
          <w:rFonts w:hint="eastAsia" w:ascii="Calibri" w:hAnsi="Calibri" w:eastAsia="宋体" w:cs="Times New Roman"/>
          <w:sz w:val="28"/>
          <w:szCs w:val="28"/>
        </w:rPr>
        <w:t xml:space="preserve">     系主任审核签名：</w:t>
      </w:r>
      <w:r>
        <w:rPr>
          <w:rFonts w:ascii="Calibri" w:hAnsi="Calibri" w:eastAsia="宋体" w:cs="Times New Roman"/>
        </w:rPr>
        <w:drawing>
          <wp:inline distT="0" distB="0" distL="0" distR="0">
            <wp:extent cx="1137285" cy="439420"/>
            <wp:effectExtent l="0" t="0" r="5715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84" cy="463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288" w:lineRule="auto"/>
        <w:ind w:firstLine="3640" w:firstLineChars="13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审核时间：2021</w:t>
      </w:r>
      <w:r>
        <w:rPr>
          <w:rFonts w:ascii="Calibri" w:hAnsi="Calibri" w:eastAsia="宋体" w:cs="Times New Roman"/>
          <w:sz w:val="28"/>
          <w:szCs w:val="28"/>
        </w:rPr>
        <w:t>.</w:t>
      </w:r>
      <w:r>
        <w:rPr>
          <w:rFonts w:hint="eastAsia" w:ascii="Calibri" w:hAnsi="Calibri" w:eastAsia="宋体" w:cs="Times New Roman"/>
          <w:sz w:val="28"/>
          <w:szCs w:val="28"/>
        </w:rPr>
        <w:t>9.2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FiMzAxNGVmZWMwNDdkYTU0NmE0MDQ2MWFlNWRlMzYifQ=="/>
  </w:docVars>
  <w:rsids>
    <w:rsidRoot w:val="003453D3"/>
    <w:rsid w:val="001C365A"/>
    <w:rsid w:val="003453D3"/>
    <w:rsid w:val="00390BAC"/>
    <w:rsid w:val="00544793"/>
    <w:rsid w:val="78702F2D"/>
    <w:rsid w:val="7BA1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Shanghai Jian Qiao University</Company>
  <Pages>5</Pages>
  <Words>2952</Words>
  <Characters>3336</Characters>
  <Lines>26</Lines>
  <Paragraphs>7</Paragraphs>
  <TotalTime>2</TotalTime>
  <ScaleCrop>false</ScaleCrop>
  <LinksUpToDate>false</LinksUpToDate>
  <CharactersWithSpaces>3378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2023-02-16T05:36:00Z</dcterms:created>
  <dc:creator>Gench</dc:creator>
  <cp:lastModifiedBy>鄭芳</cp:lastModifiedBy>
  <dcterms:modified xsi:type="dcterms:W3CDTF">2023-02-19T12:09:45Z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C6D392E8D21A498DACDE0DBA47F3F5C8</vt:lpwstr>
  </property>
</Properties>
</file>