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ascii="SimHei" w:hAnsi="SimHei" w:eastAsia="SimHei"/>
          <w:bCs/>
          <w:color w:val="000000"/>
          <w:lang w:eastAsia="zh-CN"/>
        </w:rPr>
        <w:t>一</w:t>
      </w:r>
      <w:r>
        <w:rPr>
          <w:rFonts w:hint="eastAsia" w:ascii="SimHei" w:hAnsi="SimHei" w:eastAsia="SimHei"/>
          <w:bCs/>
          <w:color w:val="000000"/>
          <w:lang w:eastAsia="zh-CN"/>
        </w:rPr>
        <w:t>、</w:t>
      </w:r>
      <w:r>
        <w:rPr>
          <w:rFonts w:ascii="SimHei" w:hAnsi="SimHei" w:eastAsia="SimHei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职场日语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default" w:eastAsia="SimSun"/>
                <w:sz w:val="21"/>
                <w:szCs w:val="21"/>
                <w:lang w:eastAsia="zh-CN"/>
              </w:rPr>
              <w:t>0145004</w:t>
            </w:r>
          </w:p>
        </w:tc>
        <w:tc>
          <w:tcPr>
            <w:tcW w:w="116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0535</w:t>
            </w:r>
          </w:p>
        </w:tc>
        <w:tc>
          <w:tcPr>
            <w:tcW w:w="11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62D9E654">
            <w:pPr>
              <w:tabs>
                <w:tab w:val="left" w:pos="532"/>
              </w:tabs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default" w:ascii="SimSun" w:hAnsi="SimSun" w:eastAsiaTheme="minorEastAsia"/>
                <w:sz w:val="18"/>
                <w:szCs w:val="18"/>
                <w:lang w:eastAsia="zh-CN"/>
              </w:rPr>
              <w:t>彭永哲</w:t>
            </w:r>
          </w:p>
        </w:tc>
        <w:tc>
          <w:tcPr>
            <w:tcW w:w="116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23095</w:t>
            </w:r>
          </w:p>
        </w:tc>
        <w:tc>
          <w:tcPr>
            <w:tcW w:w="11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19F205DF">
            <w:pPr>
              <w:tabs>
                <w:tab w:val="left" w:pos="532"/>
              </w:tabs>
              <w:jc w:val="left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18"/>
                <w:szCs w:val="18"/>
                <w:lang w:val="en-US" w:eastAsia="zh-CN"/>
              </w:rPr>
              <w:t>商日23-1</w:t>
            </w:r>
          </w:p>
        </w:tc>
        <w:tc>
          <w:tcPr>
            <w:tcW w:w="116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default" w:eastAsia="SimSun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201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 xml:space="preserve"> 国教306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各班教师自行规定）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《职场日语视听说》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孙阔、张东亚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主编，大连理工大学出版社，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月第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SimSun" w:hAnsi="SimSun" w:eastAsia="SimSun"/>
                <w:sz w:val="21"/>
                <w:szCs w:val="21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pStyle w:val="11"/>
              <w:jc w:val="left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color w:val="000000"/>
                <w:sz w:val="18"/>
                <w:szCs w:val="18"/>
                <w:lang w:eastAsia="ja-JP"/>
              </w:rPr>
              <w:t>第1課  スマートワーク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08964B">
            <w:pPr>
              <w:widowControl/>
              <w:jc w:val="both"/>
              <w:rPr>
                <w:rFonts w:hint="default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6C483">
            <w:pPr>
              <w:widowControl/>
              <w:jc w:val="both"/>
              <w:rPr>
                <w:rFonts w:hint="default"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pStyle w:val="11"/>
              <w:jc w:val="left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  <w:lang w:eastAsia="ja-JP"/>
              </w:rPr>
              <w:t>第2課  テレワーク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92F517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30EE9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jc w:val="left"/>
              <w:rPr>
                <w:rFonts w:ascii="SimHei" w:hAnsi="SimHe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第3課  ダブルワーク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026807">
            <w:pPr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82544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jc w:val="left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第4課  ウィーワーク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FFB49F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EC586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1" w:type="dxa"/>
            <w:gridSpan w:val="4"/>
            <w:vAlign w:val="center"/>
          </w:tcPr>
          <w:p w14:paraId="75F6027C">
            <w:pPr>
              <w:widowControl/>
              <w:jc w:val="center"/>
              <w:rPr>
                <w:rFonts w:eastAsia="SimSu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国庆节放假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417423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第5課  人気職業ランキング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87129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1B64C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FAFA5EC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第6課  ディズニーバイト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CFB245">
            <w:pPr>
              <w:widowControl/>
              <w:jc w:val="both"/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8B82F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ACFB4FD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第7課  爆買い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5D051E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45D34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第8課  ライブコマース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2B3C83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DAACC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第9課 新米教育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02E283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4BE57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第10課  5Sのバリエーションあれこれ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F6AA66">
            <w:pPr>
              <w:widowControl/>
              <w:jc w:val="both"/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316A2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第11課  清潔感＝仕事力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3CC4F8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B191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C57C468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第12課  時間にルーズな人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7F23C7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E4D32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51CE19C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第13課  相談しやすい人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D24C4A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4DA32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8931D99">
            <w:pPr>
              <w:widowControl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第14課  ボディランゲージ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C21051">
            <w:pPr>
              <w:widowControl/>
              <w:jc w:val="both"/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DED71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3D91BEF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jc w:val="left"/>
              <w:rPr>
                <w:rFonts w:hint="default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第15課  アサーション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562E16">
            <w:pPr>
              <w:widowControl/>
              <w:jc w:val="both"/>
              <w:rPr>
                <w:rFonts w:hint="default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both"/>
              <w:rPr>
                <w:rFonts w:hint="default"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  <w:bookmarkStart w:id="0" w:name="_GoBack"/>
            <w:bookmarkEnd w:id="0"/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期末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大报告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课堂小测验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课堂小测验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课堂小测验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1934210</wp:posOffset>
            </wp:positionV>
            <wp:extent cx="838835" cy="456565"/>
            <wp:effectExtent l="0" t="0" r="0" b="0"/>
            <wp:wrapNone/>
            <wp:docPr id="4" name="Picture 1" descr="/private/var/folders/3h/gpzf1rh158qbgqbnq8c5dg3w0000gn/T/com.kingsoft.wpsoffice.mac/kaimatting/20240108094521/output_aiMatting_20240108094605.pngoutput_aiMatting_2024010809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/private/var/folders/3h/gpzf1rh158qbgqbnq8c5dg3w0000gn/T/com.kingsoft.wpsoffice.mac/kaimatting/20240108094521/output_aiMatting_20240108094605.pngoutput_aiMatting_202401080946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DF3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SimHei" w:hAnsi="SimHei" w:eastAsia="SimHei"/>
          <w:sz w:val="21"/>
          <w:szCs w:val="21"/>
          <w:lang w:eastAsia="zh-CN"/>
        </w:rPr>
      </w:pPr>
      <w:r>
        <w:rPr>
          <w:rFonts w:ascii="Times New Roman" w:hAnsi="Times New Roman" w:eastAsia="SimSun" w:cs="Times New Roman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任课教师：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彭永哲等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主任审核：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日期：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2024.09.01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SimSun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Source Han Serif T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ource Han Serif TC">
    <w:panose1 w:val="02020400000000000000"/>
    <w:charset w:val="88"/>
    <w:family w:val="auto"/>
    <w:pitch w:val="default"/>
    <w:sig w:usb0="30000083" w:usb1="2BDF3C10" w:usb2="00000016" w:usb3="00000000" w:csb0="603A0107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C34C2B"/>
    <w:rsid w:val="0DB76A4A"/>
    <w:rsid w:val="101910F7"/>
    <w:rsid w:val="1066305F"/>
    <w:rsid w:val="133C0402"/>
    <w:rsid w:val="158E4869"/>
    <w:rsid w:val="199D2E85"/>
    <w:rsid w:val="1B9B294B"/>
    <w:rsid w:val="2E59298A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849</Words>
  <Characters>920</Characters>
  <Lines>2</Lines>
  <Paragraphs>1</Paragraphs>
  <TotalTime>0</TotalTime>
  <ScaleCrop>false</ScaleCrop>
  <LinksUpToDate>false</LinksUpToDate>
  <CharactersWithSpaces>990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AstheDew</cp:lastModifiedBy>
  <cp:lastPrinted>2015-03-18T03:45:00Z</cp:lastPrinted>
  <dcterms:modified xsi:type="dcterms:W3CDTF">2024-09-01T13:22:44Z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10FF079EA9B348D7A3E07F73A266F7BE_13</vt:lpwstr>
  </property>
</Properties>
</file>