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outlineLvl w:val="0"/>
        <w:rPr>
          <w:b/>
          <w:sz w:val="28"/>
          <w:szCs w:val="30"/>
        </w:rPr>
      </w:pPr>
      <w:bookmarkStart w:id="0" w:name="_Toc5091301"/>
      <w:r>
        <w:rPr>
          <w:b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y1ZHmtQAAAAIAQAA&#10;DwAAAAAAAAABACAAAAAiAAAAZHJzL2Rvd25yZXYueG1sUEsBAhQAFAAAAAgAh07iQKeTtjJWAgAA&#10;nQQAAA4AAAAAAAAAAQAgAAAAIw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8"/>
          <w:szCs w:val="30"/>
        </w:rPr>
        <w:t>【</w:t>
      </w:r>
      <w:r>
        <w:rPr>
          <w:rFonts w:hint="eastAsia" w:ascii="MS Mincho" w:hAnsi="MS Mincho"/>
          <w:b/>
          <w:sz w:val="28"/>
          <w:szCs w:val="30"/>
        </w:rPr>
        <w:t>NJLPT职场日语（中高级）</w:t>
      </w:r>
      <w:r>
        <w:rPr>
          <w:rFonts w:hint="eastAsia"/>
          <w:b/>
          <w:sz w:val="28"/>
          <w:szCs w:val="30"/>
        </w:rPr>
        <w:t>】</w:t>
      </w:r>
      <w:bookmarkEnd w:id="0"/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【Business</w:t>
      </w:r>
      <w:r>
        <w:rPr>
          <w:b/>
          <w:sz w:val="28"/>
          <w:szCs w:val="30"/>
        </w:rPr>
        <w:t xml:space="preserve"> Japanese</w:t>
      </w:r>
      <w:r>
        <w:rPr>
          <w:rFonts w:hint="eastAsia"/>
          <w:b/>
          <w:sz w:val="28"/>
          <w:szCs w:val="30"/>
        </w:rPr>
        <w:t xml:space="preserve"> comprehensive practice (</w:t>
      </w:r>
      <w:r>
        <w:rPr>
          <w:rFonts w:hint="eastAsia" w:eastAsia="MS Mincho"/>
          <w:b/>
          <w:sz w:val="28"/>
          <w:szCs w:val="30"/>
          <w:lang w:eastAsia="ja-JP"/>
        </w:rPr>
        <w:t>Second Edition</w:t>
      </w:r>
      <w:r>
        <w:rPr>
          <w:rFonts w:hint="eastAsia"/>
          <w:b/>
          <w:sz w:val="28"/>
          <w:szCs w:val="30"/>
        </w:rPr>
        <w:t>)】</w:t>
      </w:r>
    </w:p>
    <w:p>
      <w:pPr>
        <w:spacing w:before="156" w:beforeLines="50" w:after="156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0020173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2.0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商务日语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系级必修课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Cs/>
          <w:color w:val="000000"/>
          <w:sz w:val="20"/>
          <w:szCs w:val="20"/>
        </w:rPr>
        <w:t>国际教育学院日语系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ind w:firstLine="792" w:firstLineChars="396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《职场日本语：商务礼仪篇》釜渕优子著，外语教学与研究出版社，2017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823" w:leftChars="392"/>
        <w:rPr>
          <w:color w:val="000000"/>
          <w:sz w:val="20"/>
          <w:szCs w:val="20"/>
          <w:lang w:eastAsia="ja-JP"/>
        </w:rPr>
      </w:pPr>
      <w:r>
        <w:rPr>
          <w:color w:val="000000"/>
          <w:sz w:val="20"/>
          <w:szCs w:val="20"/>
          <w:lang w:eastAsia="ja-JP"/>
        </w:rPr>
        <w:t>参考</w:t>
      </w:r>
      <w:r>
        <w:rPr>
          <w:rFonts w:hint="eastAsia"/>
          <w:color w:val="000000"/>
          <w:sz w:val="20"/>
          <w:szCs w:val="20"/>
          <w:lang w:eastAsia="ja-JP"/>
        </w:rPr>
        <w:t>书目：</w:t>
      </w:r>
    </w:p>
    <w:p>
      <w:pPr>
        <w:snapToGrid w:val="0"/>
        <w:spacing w:line="288" w:lineRule="auto"/>
        <w:ind w:left="823" w:leftChars="392"/>
        <w:rPr>
          <w:color w:val="000000"/>
          <w:sz w:val="20"/>
          <w:szCs w:val="20"/>
          <w:lang w:eastAsia="ja-JP"/>
        </w:rPr>
      </w:pPr>
      <w:r>
        <w:rPr>
          <w:rFonts w:hint="eastAsia"/>
          <w:color w:val="000000"/>
          <w:sz w:val="20"/>
          <w:szCs w:val="20"/>
          <w:lang w:eastAsia="ja-JP"/>
        </w:rPr>
        <w:t>1.</w:t>
      </w:r>
      <w:r>
        <w:rPr>
          <w:color w:val="000000"/>
          <w:sz w:val="20"/>
          <w:szCs w:val="20"/>
          <w:lang w:eastAsia="ja-JP"/>
        </w:rPr>
        <w:t>【</w:t>
      </w:r>
      <w:r>
        <w:rPr>
          <w:rFonts w:hint="eastAsia"/>
          <w:color w:val="000000"/>
          <w:sz w:val="20"/>
          <w:szCs w:val="20"/>
          <w:lang w:eastAsia="ja-JP"/>
        </w:rPr>
        <w:t>《</w:t>
      </w:r>
      <w:r>
        <w:rPr>
          <w:rFonts w:hint="eastAsia" w:eastAsia="MS Mincho"/>
          <w:color w:val="000000"/>
          <w:sz w:val="20"/>
          <w:szCs w:val="20"/>
          <w:lang w:eastAsia="ja-JP"/>
        </w:rPr>
        <w:t>ビジネスマナー礼儀作法</w:t>
      </w:r>
      <w:r>
        <w:rPr>
          <w:rFonts w:hint="eastAsia"/>
          <w:color w:val="000000"/>
          <w:sz w:val="20"/>
          <w:szCs w:val="20"/>
          <w:lang w:eastAsia="ja-JP"/>
        </w:rPr>
        <w:t>》 （日）椿武爱子 著 外语教学与研究出版社 2012.4</w:t>
      </w:r>
      <w:r>
        <w:rPr>
          <w:color w:val="000000"/>
          <w:sz w:val="20"/>
          <w:szCs w:val="20"/>
          <w:lang w:eastAsia="ja-JP"/>
        </w:rPr>
        <w:t>】</w:t>
      </w:r>
    </w:p>
    <w:p>
      <w:pPr>
        <w:snapToGrid w:val="0"/>
        <w:spacing w:line="288" w:lineRule="auto"/>
        <w:ind w:left="823" w:leftChars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2.</w:t>
      </w:r>
      <w:r>
        <w:rPr>
          <w:color w:val="000000"/>
          <w:sz w:val="20"/>
          <w:szCs w:val="20"/>
        </w:rPr>
        <w:t xml:space="preserve"> 【</w:t>
      </w:r>
      <w:r>
        <w:rPr>
          <w:rFonts w:hint="eastAsia"/>
          <w:color w:val="000000"/>
          <w:sz w:val="20"/>
          <w:szCs w:val="20"/>
        </w:rPr>
        <w:t>《标准商务日语考试题集（第二版）》 （日）高见泽孟 吉冈正毅 主编 外语教学与研究出版社 2012.7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823" w:leftChars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3.</w:t>
      </w:r>
      <w:r>
        <w:rPr>
          <w:color w:val="000000"/>
          <w:sz w:val="20"/>
          <w:szCs w:val="20"/>
        </w:rPr>
        <w:t xml:space="preserve"> 【</w:t>
      </w:r>
      <w:r>
        <w:rPr>
          <w:rFonts w:hint="eastAsia"/>
          <w:color w:val="000000"/>
          <w:sz w:val="20"/>
          <w:szCs w:val="20"/>
        </w:rPr>
        <w:t>《日语商务文秘实录》 罗如新 谢亦瑜 徐军 主编 大连理工大学出版社 2008.4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823" w:leftChars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4.</w:t>
      </w:r>
      <w:r>
        <w:rPr>
          <w:color w:val="000000"/>
          <w:sz w:val="20"/>
          <w:szCs w:val="20"/>
        </w:rPr>
        <w:t xml:space="preserve"> 【</w:t>
      </w:r>
      <w:r>
        <w:rPr>
          <w:rFonts w:hint="eastAsia"/>
          <w:color w:val="000000"/>
          <w:sz w:val="20"/>
          <w:szCs w:val="20"/>
        </w:rPr>
        <w:t>《日本商务礼仪》 杨学江 主编 上海交通大学出版社 2010.8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b/>
          <w:bCs/>
          <w:color w:val="000000"/>
          <w:sz w:val="20"/>
          <w:szCs w:val="20"/>
        </w:rPr>
        <w:t>https://www.gench.edu.cn/</w:t>
      </w: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 w:ascii="宋体" w:hAnsi="宋体"/>
          <w:sz w:val="20"/>
          <w:szCs w:val="20"/>
        </w:rPr>
        <w:t>基础日语</w:t>
      </w:r>
      <w:r>
        <w:rPr>
          <w:rFonts w:hint="eastAsia" w:ascii="MS Mincho" w:hAnsi="MS Mincho" w:eastAsia="MS Mincho"/>
          <w:sz w:val="20"/>
          <w:szCs w:val="20"/>
        </w:rPr>
        <w:t>Ⅲ</w:t>
      </w:r>
      <w:r>
        <w:rPr>
          <w:rFonts w:hint="eastAsia" w:ascii="MS Mincho" w:hAnsi="MS Mincho"/>
          <w:sz w:val="20"/>
          <w:szCs w:val="20"/>
        </w:rPr>
        <w:t xml:space="preserve"> </w:t>
      </w:r>
      <w:r>
        <w:rPr>
          <w:rFonts w:ascii="宋体" w:hAnsi="宋体"/>
          <w:sz w:val="20"/>
          <w:szCs w:val="20"/>
        </w:rPr>
        <w:t>0020013</w:t>
      </w:r>
      <w:r>
        <w:rPr>
          <w:rFonts w:hint="eastAsia" w:ascii="宋体" w:hAnsi="宋体"/>
          <w:sz w:val="20"/>
          <w:szCs w:val="20"/>
        </w:rPr>
        <w:t>（10）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NJLPT职场日语（中高级）》为学科专业必修课，面向商务日语专业学生，共开设一个学期。本课程的主要内容主要为：不同职业场所各类场景中的常用商务日语表达方式（敬语的正确使用、面试、进公司第1天的自我介绍和寒暄、电话、访问、接待、感谢、道歉、确认、请求、拒绝、会议），同时还涉及到日本商务礼仪（服装、打扮、寒暄方式、表情与笑容、正确的举止姿态、递收名片、敬茶、座次、给客人领路、送客人等）、实用商务文书（日程管理、通知书等）、日企组织结构和文化等方面内容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通过本课程的学习，使学生了解商务日语日常会话的特点，掌握不同场景中的商务日语表达，培养学生在职场实际运用日语语言的能力，逐步了解日本公司的结构与文化，注重日式商务礼仪，为今后进入社会打下坚实的基础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本课程适合商务日语专业大二年级的学生作为必修或选修课来学习。要求学生应具有日语初级以上水平。</w:t>
      </w:r>
    </w:p>
    <w:p>
      <w:pPr>
        <w:snapToGrid w:val="0"/>
        <w:spacing w:line="288" w:lineRule="auto"/>
        <w:rPr>
          <w:color w:val="000000"/>
          <w:sz w:val="20"/>
          <w:szCs w:val="20"/>
        </w:rPr>
      </w:pPr>
    </w:p>
    <w:p>
      <w:pPr>
        <w:widowControl/>
        <w:numPr>
          <w:ilvl w:val="0"/>
          <w:numId w:val="1"/>
        </w:numPr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</w:rPr>
        <w:t>专业毕业要求</w:t>
      </w:r>
      <w:r>
        <w:rPr>
          <w:rFonts w:ascii="黑体" w:hAnsi="宋体" w:eastAsia="黑体"/>
          <w:sz w:val="24"/>
        </w:rPr>
        <w:t>的关联性</w:t>
      </w:r>
    </w:p>
    <w:p>
      <w:pPr>
        <w:widowControl/>
        <w:numPr>
          <w:ilvl w:val="0"/>
          <w:numId w:val="0"/>
        </w:numPr>
        <w:spacing w:before="156" w:beforeLines="50" w:after="156" w:afterLines="50" w:line="288" w:lineRule="auto"/>
        <w:jc w:val="left"/>
        <w:rPr>
          <w:rFonts w:ascii="黑体" w:hAnsi="宋体" w:eastAsia="黑体"/>
          <w:sz w:val="24"/>
        </w:rPr>
      </w:pPr>
    </w:p>
    <w:p>
      <w:pPr>
        <w:widowControl/>
        <w:numPr>
          <w:ilvl w:val="0"/>
          <w:numId w:val="0"/>
        </w:numPr>
        <w:spacing w:before="156" w:beforeLines="50" w:after="156" w:afterLines="50" w:line="288" w:lineRule="auto"/>
        <w:jc w:val="left"/>
        <w:rPr>
          <w:rFonts w:ascii="黑体" w:hAnsi="宋体" w:eastAsia="黑体"/>
          <w:sz w:val="24"/>
        </w:rPr>
      </w:pPr>
    </w:p>
    <w:tbl>
      <w:tblPr>
        <w:tblStyle w:val="10"/>
        <w:tblW w:w="84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51"/>
        <w:gridCol w:w="6379"/>
        <w:gridCol w:w="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L011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LO111</w:t>
            </w:r>
          </w:p>
        </w:tc>
        <w:tc>
          <w:tcPr>
            <w:tcW w:w="6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倾听他人意见、尊重他人观点、分析他人需求。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LO112</w:t>
            </w:r>
          </w:p>
        </w:tc>
        <w:tc>
          <w:tcPr>
            <w:tcW w:w="6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应用书面或口头形式，阐释自己的观点，有效沟通。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L021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LO211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能根据需要确定学习目标，并设计学习计划。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LO212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L031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L0311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L0312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掌握正确的发音，能够使用日语进行交流与表达。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L0313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L0314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L0315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L032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L0321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了解语言学的一般理论，以及语言学研究的发展与现状。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L0322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透彻分析日语语素、词汇及语法结构，能对语法现象进行分析归纳与总结。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L0323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了解日本文学史上不同时期的重要作家及其代表作品。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L0324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具备阅读、欣赏、理解日本文学原著的能力，掌握文学批评的基本知识和方法。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L033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LO331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了解日本文化、社会和风土人情，认识中日文化差异。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LO332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具有跨文化交际能力，掌握有效的认知、调控、交际策略和跨文化理解能力。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L034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LO341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LO342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L035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L0351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具备广告客户、业务开发和维护能力。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L0352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具有广告消费行为、营销、广告客户心理等方面的基础知识。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L0353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具备良好的品牌开发、传播的能力。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L041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LO411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遵纪守法：遵守校纪校规，具备法律意识。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LO412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诚实守信：为人诚实，信守承诺，尽职尽责。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LO413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爱岗敬业：了解与专业相关的法律法规，在学习和社会实践中遵守职业规范，具备职业道德操守。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LO414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心理健康，能承受学习和生活中的压力。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L051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LO511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在集体活动中能主动担任自己的角色，与其他成员密切合作，共同完成任务。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LO512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有质疑精神，能有逻辑的分析与批判。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B05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LO513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能用创新的方法或者多种方法解决复杂问题或真实问题。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B05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LO514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了解行业前沿知识技术。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B05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L061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LO611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能够根据需要进行专业文献检索。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LO612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能够使用适合的工具来搜集信息，并对信息加以分析、鉴别、判断与整合。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LO613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熟练使用计算机，掌握常用办公软件。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L071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LO711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爱党爱国：了解祖国的优秀传统文化和革命历史，构建爱党爱国的理想信念。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LO712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助人为乐：富于爱心，懂得感恩，具备助人为乐的品质。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LO713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奉献社会：具有服务企业、服务社会的意愿和行为能力。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LO714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爱护环境：具有爱护环境的意识和与自然和谐相处的环保理念。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L081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L0811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具备外语表达沟通能力，达到本专业的要求。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L0812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理解其他国家历史文化，有跨文化交流能力。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L0813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有国际竞争与合作意识。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ind w:firstLine="420" w:firstLineChars="200"/>
      </w:pPr>
      <w:r>
        <w:rPr>
          <w:rFonts w:hint="eastAsia"/>
        </w:rPr>
        <w:t>备注：LO=</w:t>
      </w:r>
      <w:r>
        <w:t>learning outcomes</w:t>
      </w:r>
      <w:r>
        <w:rPr>
          <w:rFonts w:hint="eastAsia"/>
        </w:rPr>
        <w:t>（学习成果）</w:t>
      </w:r>
    </w:p>
    <w:p/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</w:p>
    <w:tbl>
      <w:tblPr>
        <w:tblStyle w:val="10"/>
        <w:tblpPr w:leftFromText="180" w:rightFromText="180" w:vertAnchor="text" w:horzAnchor="page" w:tblpX="2163" w:tblpY="15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vAlign w:val="center"/>
          </w:tcPr>
          <w:p>
            <w:pPr>
              <w:rPr>
                <w:rFonts w:ascii="仿宋" w:hAnsi="仿宋" w:eastAsia="MS Mincho" w:cs="宋体"/>
                <w:color w:val="000000"/>
                <w:kern w:val="0"/>
                <w:sz w:val="24"/>
                <w:lang w:eastAsia="ja-JP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LO11</w:t>
            </w:r>
            <w:r>
              <w:rPr>
                <w:rFonts w:hint="eastAsia" w:ascii="仿宋" w:hAnsi="仿宋" w:eastAsia="MS Mincho" w:cs="宋体"/>
                <w:color w:val="000000"/>
                <w:kern w:val="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470" w:type="dxa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能够用商务日语的口头或书面形式阐释自己的观点，有效沟通。</w:t>
            </w:r>
          </w:p>
        </w:tc>
        <w:tc>
          <w:tcPr>
            <w:tcW w:w="2199" w:type="dxa"/>
            <w:vAlign w:val="center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运用视频播放实例，让学生模仿学习。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回答问题与模拟演练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LO21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70" w:type="dxa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对教师给出的学习目标，学生能很好地理解并自主完成。</w:t>
            </w:r>
          </w:p>
        </w:tc>
        <w:tc>
          <w:tcPr>
            <w:tcW w:w="2199" w:type="dxa"/>
            <w:vAlign w:val="center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教师指导，学生回答问题、演练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会话、书面练习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LO32</w:t>
            </w:r>
          </w:p>
        </w:tc>
        <w:tc>
          <w:tcPr>
            <w:tcW w:w="2470" w:type="dxa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了解商务日语日常会话的特点，掌握不同场景中的商务日语表达，培养学生在职场实际运用日语语言的能力，初步了解日本公司的结构与文化，注重日式商务礼仪。</w:t>
            </w:r>
          </w:p>
        </w:tc>
        <w:tc>
          <w:tcPr>
            <w:tcW w:w="2199" w:type="dxa"/>
            <w:vAlign w:val="center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教师指导，学生学习与演练。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会话、书面练习、回答提问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5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LO812</w:t>
            </w:r>
          </w:p>
        </w:tc>
        <w:tc>
          <w:tcPr>
            <w:tcW w:w="2470" w:type="dxa"/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使学生具备一定的跨文化交际能力。</w:t>
            </w:r>
          </w:p>
        </w:tc>
        <w:tc>
          <w:tcPr>
            <w:tcW w:w="2199" w:type="dxa"/>
            <w:vAlign w:val="center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运用视频播放实例，让学生模仿学习。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回答问题与模拟演练</w:t>
            </w:r>
          </w:p>
        </w:tc>
      </w:tr>
    </w:tbl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</w:t>
      </w:r>
      <w:r>
        <w:rPr>
          <w:rFonts w:ascii="黑体" w:hAnsi="宋体" w:eastAsia="黑体"/>
          <w:sz w:val="24"/>
        </w:rPr>
        <w:t>课程内容</w:t>
      </w:r>
    </w:p>
    <w:tbl>
      <w:tblPr>
        <w:tblStyle w:val="11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76"/>
        <w:gridCol w:w="1701"/>
        <w:gridCol w:w="170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单元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内容构成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知识点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（运用）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教学重难点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知识能力要求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MS Mincho" w:hAnsi="MS Mincho" w:eastAsia="MS Mincho" w:cs="Times New Roman"/>
                <w:bCs/>
                <w:kern w:val="0"/>
                <w:sz w:val="20"/>
                <w:szCs w:val="20"/>
                <w:lang w:eastAsia="ja-JP"/>
              </w:rPr>
              <w:t>１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88" w:lineRule="auto"/>
              <w:rPr>
                <w:rFonts w:ascii="MS Mincho" w:hAnsi="MS Mincho" w:eastAsia="MS Mincho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kern w:val="0"/>
                <w:sz w:val="20"/>
                <w:szCs w:val="20"/>
              </w:rPr>
              <w:t>询盘、报盘、还盘、接受交易条件等</w:t>
            </w:r>
            <w:r>
              <w:rPr>
                <w:rFonts w:hint="eastAsia" w:ascii="MS Mincho" w:hAnsi="MS Mincho" w:cs="Times New Roman" w:eastAsiaTheme="minorEastAsia"/>
                <w:bCs/>
                <w:kern w:val="0"/>
                <w:sz w:val="20"/>
                <w:szCs w:val="20"/>
              </w:rPr>
              <w:t>概念及在商贸活动中含义</w:t>
            </w:r>
            <w:r>
              <w:rPr>
                <w:rFonts w:hint="eastAsia" w:cs="Times New Roman" w:asciiTheme="minorEastAsia" w:hAnsiTheme="minorEastAsia" w:eastAsiaTheme="minorEastAsia"/>
                <w:bCs/>
                <w:kern w:val="0"/>
                <w:sz w:val="20"/>
                <w:szCs w:val="20"/>
              </w:rPr>
              <w:t>。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88" w:lineRule="auto"/>
              <w:rPr>
                <w:rFonts w:ascii="Times New Roman" w:hAnsi="Times New Roman" w:cs="Times New Roman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kern w:val="0"/>
                <w:sz w:val="20"/>
                <w:szCs w:val="20"/>
              </w:rPr>
              <w:t>要求学生了解与询盘、报盘、还盘、接受交易条件等相关的信函行文要求，理解商业习惯方面中日两国企业文化的差异。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88" w:lineRule="auto"/>
              <w:rPr>
                <w:rFonts w:ascii="Times New Roman" w:hAnsi="Times New Roman" w:cs="Times New Roman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kern w:val="0"/>
                <w:sz w:val="20"/>
                <w:szCs w:val="20"/>
              </w:rPr>
              <w:t>熟悉进出口贸易业务流程，了解在商贸活动前期对市场调查、对潜在客户信资调查的必要性、方法及途径。</w:t>
            </w:r>
          </w:p>
        </w:tc>
        <w:tc>
          <w:tcPr>
            <w:tcW w:w="3402" w:type="dxa"/>
          </w:tcPr>
          <w:p>
            <w:pPr>
              <w:snapToGrid w:val="0"/>
              <w:spacing w:line="288" w:lineRule="auto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MS Mincho" w:cs="Times New Roman"/>
                <w:bCs/>
                <w:kern w:val="0"/>
                <w:sz w:val="20"/>
                <w:szCs w:val="20"/>
              </w:rPr>
              <w:t>1、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熟记单词</w:t>
            </w:r>
            <w:r>
              <w:rPr>
                <w:rFonts w:hint="eastAsia" w:ascii="MS Mincho" w:hAnsi="MS Mincho" w:eastAsia="MS Mincho" w:cs="Times New Roman"/>
                <w:bCs/>
                <w:kern w:val="0"/>
                <w:sz w:val="20"/>
                <w:szCs w:val="20"/>
              </w:rPr>
              <w:t>。</w:t>
            </w:r>
          </w:p>
          <w:p>
            <w:pPr>
              <w:snapToGrid w:val="0"/>
              <w:spacing w:line="288" w:lineRule="auto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MS Mincho" w:cs="Times New Roman"/>
                <w:bCs/>
                <w:kern w:val="0"/>
                <w:sz w:val="20"/>
                <w:szCs w:val="20"/>
              </w:rPr>
              <w:t>2、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要求本文背诵，能正确理解。特别是里面出现的新单词、新句型要熟练掌握。</w:t>
            </w:r>
          </w:p>
          <w:p>
            <w:pPr>
              <w:snapToGrid w:val="0"/>
              <w:spacing w:line="288" w:lineRule="auto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MS Mincho" w:cs="Times New Roman"/>
                <w:bCs/>
                <w:kern w:val="0"/>
                <w:sz w:val="20"/>
                <w:szCs w:val="20"/>
              </w:rPr>
              <w:t>3、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要求模仿课文内容，设置场景进行会话练习。</w:t>
            </w:r>
          </w:p>
          <w:p>
            <w:pPr>
              <w:snapToGrid w:val="0"/>
              <w:spacing w:line="288" w:lineRule="auto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MS Mincho" w:cs="Times New Roman"/>
                <w:bCs/>
                <w:kern w:val="0"/>
                <w:sz w:val="20"/>
                <w:szCs w:val="20"/>
              </w:rPr>
              <w:t>4</w:t>
            </w:r>
            <w:r>
              <w:rPr>
                <w:rFonts w:hint="eastAsia" w:ascii="MS Mincho" w:hAnsi="MS Mincho" w:eastAsia="MS Mincho" w:cs="Times New Roman"/>
                <w:bCs/>
                <w:kern w:val="0"/>
                <w:sz w:val="20"/>
                <w:szCs w:val="20"/>
              </w:rPr>
              <w:t>、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帮助学生分析其主要内容，提高广泛阅读能力</w:t>
            </w:r>
          </w:p>
          <w:p>
            <w:pPr>
              <w:snapToGrid w:val="0"/>
              <w:spacing w:line="288" w:lineRule="auto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MS Mincho" w:cs="Times New Roman"/>
                <w:bCs/>
                <w:kern w:val="0"/>
                <w:sz w:val="20"/>
                <w:szCs w:val="20"/>
              </w:rPr>
              <w:t>5、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通过练习考查本课知识掌握情况。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MS Mincho" w:cs="Times New Roman"/>
                <w:bCs/>
                <w:kern w:val="0"/>
                <w:sz w:val="20"/>
                <w:szCs w:val="20"/>
                <w:lang w:eastAsia="ja-JP"/>
              </w:rPr>
            </w:pPr>
            <w:r>
              <w:rPr>
                <w:rFonts w:hint="eastAsia" w:ascii="Times New Roman" w:hAnsi="Times New Roman" w:eastAsia="MS Mincho" w:cs="Times New Roman"/>
                <w:bCs/>
                <w:kern w:val="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88" w:lineRule="auto"/>
              <w:rPr>
                <w:rFonts w:cs="Times New Roman" w:asciiTheme="minorEastAsia" w:hAnsiTheme="minorEastAsia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kern w:val="0"/>
                <w:sz w:val="20"/>
                <w:szCs w:val="20"/>
              </w:rPr>
              <w:t>商品品质、数量及包装等概念及在商贸活动中的含义。</w:t>
            </w:r>
          </w:p>
          <w:p>
            <w:pPr>
              <w:pStyle w:val="19"/>
              <w:snapToGrid w:val="0"/>
              <w:spacing w:line="288" w:lineRule="auto"/>
              <w:ind w:left="360" w:firstLine="0" w:firstLineChars="0"/>
              <w:rPr>
                <w:rFonts w:asciiTheme="minorEastAsia" w:hAnsiTheme="minorEastAsia" w:eastAsiaTheme="minor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88" w:lineRule="auto"/>
              <w:rPr>
                <w:rFonts w:cs="Times New Roman" w:asciiTheme="minorEastAsia" w:hAnsiTheme="minorEastAsia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kern w:val="0"/>
                <w:sz w:val="20"/>
                <w:szCs w:val="20"/>
              </w:rPr>
              <w:t>要求学生了解商品品质条件、规格、决定品质的具体时期、方法，包装和标识的种类及意义。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88" w:lineRule="auto"/>
              <w:rPr>
                <w:rFonts w:ascii="Times New Roman" w:hAnsi="Times New Roman" w:cs="Times New Roman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kern w:val="0"/>
                <w:sz w:val="20"/>
                <w:szCs w:val="20"/>
              </w:rPr>
              <w:t>熟悉国际商贸活动中针对不同商品采用不同种类的运输的包装、不同标识及“短溢装”条款。</w:t>
            </w:r>
          </w:p>
        </w:tc>
        <w:tc>
          <w:tcPr>
            <w:tcW w:w="3402" w:type="dxa"/>
          </w:tcPr>
          <w:p>
            <w:pPr>
              <w:snapToGrid w:val="0"/>
              <w:spacing w:line="288" w:lineRule="auto"/>
              <w:rPr>
                <w:rFonts w:cs="Times New Roman" w:asciiTheme="minorEastAsia" w:hAnsiTheme="minorEastAsia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MS Mincho" w:cs="Times New Roman"/>
                <w:bCs/>
                <w:kern w:val="0"/>
                <w:sz w:val="20"/>
                <w:szCs w:val="20"/>
              </w:rPr>
              <w:t>1、</w:t>
            </w:r>
            <w:r>
              <w:rPr>
                <w:rFonts w:hint="eastAsia" w:cs="Times New Roman" w:asciiTheme="minorEastAsia" w:hAnsiTheme="minorEastAsia" w:eastAsiaTheme="minorEastAsia"/>
                <w:bCs/>
                <w:kern w:val="0"/>
                <w:sz w:val="20"/>
                <w:szCs w:val="20"/>
              </w:rPr>
              <w:t>熟记单词。</w:t>
            </w:r>
          </w:p>
          <w:p>
            <w:pPr>
              <w:snapToGrid w:val="0"/>
              <w:spacing w:line="288" w:lineRule="auto"/>
              <w:rPr>
                <w:rFonts w:cs="Times New Roman" w:asciiTheme="minorEastAsia" w:hAnsiTheme="minorEastAsia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kern w:val="0"/>
                <w:sz w:val="20"/>
                <w:szCs w:val="20"/>
              </w:rPr>
              <w:t>2、要求本文背诵，能正确理解。特别是里面出现的新单词、新句型要熟练掌握。</w:t>
            </w:r>
          </w:p>
          <w:p>
            <w:pPr>
              <w:snapToGrid w:val="0"/>
              <w:spacing w:line="288" w:lineRule="auto"/>
              <w:rPr>
                <w:rFonts w:cs="Times New Roman" w:asciiTheme="minorEastAsia" w:hAnsiTheme="minorEastAsia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kern w:val="0"/>
                <w:sz w:val="20"/>
                <w:szCs w:val="20"/>
              </w:rPr>
              <w:t>3、要求模仿课文内容，设置场景进行会话练习。</w:t>
            </w:r>
          </w:p>
          <w:p>
            <w:pPr>
              <w:snapToGrid w:val="0"/>
              <w:spacing w:line="288" w:lineRule="auto"/>
              <w:rPr>
                <w:rFonts w:cs="Times New Roman" w:asciiTheme="minorEastAsia" w:hAnsiTheme="minorEastAsia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kern w:val="0"/>
                <w:sz w:val="20"/>
                <w:szCs w:val="20"/>
              </w:rPr>
              <w:t>4、帮助学生分析其主要内容，提高广泛阅读能力</w:t>
            </w:r>
          </w:p>
          <w:p>
            <w:pPr>
              <w:snapToGrid w:val="0"/>
              <w:spacing w:line="288" w:lineRule="auto"/>
              <w:rPr>
                <w:rFonts w:ascii="Times New Roman" w:hAnsi="Times New Roman" w:eastAsia="MS Mincho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kern w:val="0"/>
                <w:sz w:val="20"/>
                <w:szCs w:val="20"/>
              </w:rPr>
              <w:t>5、通过练习考查本课知识掌握情况。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MS Mincho" w:hAnsi="MS Mincho" w:eastAsia="MS Mincho" w:cs="Times New Roman"/>
                <w:bCs/>
                <w:kern w:val="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88" w:lineRule="auto"/>
              <w:rPr>
                <w:rFonts w:cs="Times New Roman" w:asciiTheme="minorEastAsia" w:hAnsiTheme="minorEastAsia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ascii="MS Mincho" w:hAnsi="MS Mincho" w:cs="Times New Roman" w:eastAsiaTheme="minorEastAsia"/>
                <w:bCs/>
                <w:kern w:val="0"/>
                <w:sz w:val="20"/>
                <w:szCs w:val="20"/>
              </w:rPr>
              <w:t>交易价格与贸易条件的种类、含义、买卖双方的权利及义务。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88" w:lineRule="auto"/>
              <w:rPr>
                <w:rFonts w:ascii="Times New Roman" w:hAnsi="Times New Roman" w:cs="Times New Roman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MS Mincho" w:cs="Times New Roman"/>
                <w:bCs/>
                <w:kern w:val="0"/>
                <w:sz w:val="20"/>
                <w:szCs w:val="20"/>
              </w:rPr>
              <w:t>《</w:t>
            </w:r>
            <w:r>
              <w:rPr>
                <w:rFonts w:hint="eastAsia" w:ascii="Times New Roman" w:hAnsi="Times New Roman" w:cs="Times New Roman" w:eastAsiaTheme="minorEastAsia"/>
                <w:bCs/>
                <w:kern w:val="0"/>
                <w:sz w:val="20"/>
                <w:szCs w:val="20"/>
              </w:rPr>
              <w:t>国际贸易术语解释通则2020</w:t>
            </w:r>
            <w:r>
              <w:rPr>
                <w:rFonts w:hint="eastAsia" w:ascii="MS Mincho" w:hAnsi="MS Mincho" w:eastAsia="MS Mincho" w:cs="Times New Roman"/>
                <w:bCs/>
                <w:kern w:val="0"/>
                <w:sz w:val="20"/>
                <w:szCs w:val="20"/>
              </w:rPr>
              <w:t>》</w:t>
            </w:r>
            <w:r>
              <w:rPr>
                <w:rFonts w:hint="eastAsia" w:ascii="MS Mincho" w:hAnsi="MS Mincho" w:cs="Times New Roman" w:eastAsiaTheme="minorEastAsia"/>
                <w:bCs/>
                <w:kern w:val="0"/>
                <w:sz w:val="20"/>
                <w:szCs w:val="20"/>
              </w:rPr>
              <w:t>中涉及的通常贸易条件的含义及运用。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88" w:lineRule="auto"/>
              <w:rPr>
                <w:rFonts w:ascii="Times New Roman" w:hAnsi="Times New Roman" w:cs="Times New Roman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kern w:val="0"/>
                <w:sz w:val="20"/>
                <w:szCs w:val="20"/>
              </w:rPr>
              <w:t>FOB、CIF、DAT、DAP、DDP、EXW、FAS：买卖方各自所承担的风险、费用及界定方法。</w:t>
            </w:r>
          </w:p>
        </w:tc>
        <w:tc>
          <w:tcPr>
            <w:tcW w:w="3402" w:type="dxa"/>
          </w:tcPr>
          <w:p>
            <w:pPr>
              <w:snapToGrid w:val="0"/>
              <w:spacing w:line="288" w:lineRule="auto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MS Mincho" w:cs="Times New Roman"/>
                <w:bCs/>
                <w:kern w:val="0"/>
                <w:sz w:val="20"/>
                <w:szCs w:val="20"/>
              </w:rPr>
              <w:t>1、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熟记单词</w:t>
            </w:r>
            <w:r>
              <w:rPr>
                <w:rFonts w:hint="eastAsia" w:ascii="MS Mincho" w:hAnsi="MS Mincho" w:eastAsia="MS Mincho" w:cs="Times New Roman"/>
                <w:bCs/>
                <w:kern w:val="0"/>
                <w:sz w:val="20"/>
                <w:szCs w:val="20"/>
              </w:rPr>
              <w:t>。</w:t>
            </w:r>
          </w:p>
          <w:p>
            <w:pPr>
              <w:snapToGrid w:val="0"/>
              <w:spacing w:line="288" w:lineRule="auto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MS Mincho" w:cs="Times New Roman"/>
                <w:bCs/>
                <w:kern w:val="0"/>
                <w:sz w:val="20"/>
                <w:szCs w:val="20"/>
              </w:rPr>
              <w:t>2、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要求本文背诵，能正确理解。特别是里面出现的新单词、新句型要熟练掌握。</w:t>
            </w:r>
          </w:p>
          <w:p>
            <w:pPr>
              <w:snapToGrid w:val="0"/>
              <w:spacing w:line="288" w:lineRule="auto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MS Mincho" w:cs="Times New Roman"/>
                <w:bCs/>
                <w:kern w:val="0"/>
                <w:sz w:val="20"/>
                <w:szCs w:val="20"/>
              </w:rPr>
              <w:t>3、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要求模仿课文内容，设置场景进行会话练习。</w:t>
            </w:r>
          </w:p>
          <w:p>
            <w:pPr>
              <w:snapToGrid w:val="0"/>
              <w:spacing w:line="288" w:lineRule="auto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MS Mincho" w:cs="Times New Roman"/>
                <w:bCs/>
                <w:kern w:val="0"/>
                <w:sz w:val="20"/>
                <w:szCs w:val="20"/>
              </w:rPr>
              <w:t>4、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帮助学生分析其主要内容，提高广泛阅读能力</w:t>
            </w:r>
          </w:p>
          <w:p>
            <w:pPr>
              <w:snapToGrid w:val="0"/>
              <w:spacing w:line="288" w:lineRule="auto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MS Mincho" w:cs="Times New Roman"/>
                <w:bCs/>
                <w:kern w:val="0"/>
                <w:sz w:val="20"/>
                <w:szCs w:val="20"/>
              </w:rPr>
              <w:t>5</w:t>
            </w:r>
            <w:r>
              <w:rPr>
                <w:rFonts w:hint="eastAsia" w:ascii="MS Mincho" w:hAnsi="MS Mincho" w:eastAsia="MS Mincho" w:cs="Times New Roman"/>
                <w:bCs/>
                <w:kern w:val="0"/>
                <w:sz w:val="20"/>
                <w:szCs w:val="20"/>
              </w:rPr>
              <w:t>、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通过练习考查本课知识掌握情况。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MS Mincho" w:hAnsi="MS Mincho" w:eastAsia="MS Mincho" w:cs="Times New Roman"/>
                <w:bCs/>
                <w:kern w:val="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88" w:lineRule="auto"/>
              <w:rPr>
                <w:rFonts w:cs="Times New Roman" w:asciiTheme="minorEastAsia" w:hAnsiTheme="minorEastAsia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ascii="MS Mincho" w:hAnsi="MS Mincho" w:cs="Times New Roman" w:eastAsiaTheme="minorEastAsia"/>
                <w:bCs/>
                <w:kern w:val="0"/>
                <w:sz w:val="20"/>
                <w:szCs w:val="20"/>
              </w:rPr>
              <w:t>国际货运及保险的种类及所涉及的各类单据。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88" w:lineRule="auto"/>
              <w:rPr>
                <w:rFonts w:ascii="Times New Roman" w:hAnsi="Times New Roman" w:cs="Times New Roman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ascii="MS Mincho" w:hAnsi="MS Mincho" w:cs="Times New Roman" w:eastAsiaTheme="minorEastAsia"/>
                <w:bCs/>
                <w:kern w:val="0"/>
                <w:sz w:val="20"/>
                <w:szCs w:val="20"/>
              </w:rPr>
              <w:t>海运提单、多式联运提单、转船提单、直达提单、指示提单、无记名提单：辨别及运用。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288" w:lineRule="auto"/>
              <w:rPr>
                <w:rFonts w:ascii="Times New Roman" w:hAnsi="Times New Roman" w:cs="Times New Roman" w:eastAsiaTheme="minorEastAsia"/>
                <w:bCs/>
                <w:kern w:val="0"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rFonts w:ascii="Times New Roman" w:hAnsi="Times New Roman" w:cs="Times New Roman" w:eastAsiaTheme="minorEastAsia"/>
                <w:bCs/>
                <w:kern w:val="0"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rFonts w:ascii="Times New Roman" w:hAnsi="Times New Roman" w:cs="Times New Roman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kern w:val="0"/>
                <w:sz w:val="20"/>
                <w:szCs w:val="20"/>
              </w:rPr>
              <w:t>海上货运的风险及损失：一般附加险、特殊附加险。</w:t>
            </w:r>
          </w:p>
          <w:p>
            <w:pPr>
              <w:snapToGrid w:val="0"/>
              <w:spacing w:line="288" w:lineRule="auto"/>
              <w:rPr>
                <w:rFonts w:ascii="Times New Roman" w:hAnsi="Times New Roman" w:cs="Times New Roman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kern w:val="0"/>
                <w:sz w:val="20"/>
                <w:szCs w:val="20"/>
              </w:rPr>
              <w:t>全损：现实全损、推定全损、分损：共同海损、单独海损、</w:t>
            </w:r>
          </w:p>
          <w:p>
            <w:pPr>
              <w:snapToGrid w:val="0"/>
              <w:spacing w:line="288" w:lineRule="auto"/>
              <w:rPr>
                <w:rFonts w:ascii="Times New Roman" w:hAnsi="Times New Roman" w:cs="Times New Roman" w:eastAsiaTheme="minorEastAsia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 w:eastAsiaTheme="minorEastAsia"/>
                <w:bCs/>
                <w:kern w:val="0"/>
                <w:sz w:val="20"/>
                <w:szCs w:val="20"/>
              </w:rPr>
              <w:t>一般附加险、特殊附加险、</w:t>
            </w:r>
          </w:p>
          <w:p>
            <w:pPr>
              <w:snapToGrid w:val="0"/>
              <w:spacing w:line="288" w:lineRule="auto"/>
              <w:rPr>
                <w:rFonts w:ascii="Times New Roman" w:hAnsi="Times New Roman" w:cs="Times New Roman" w:eastAsiaTheme="minorEastAsia"/>
                <w:bCs/>
                <w:kern w:val="0"/>
                <w:sz w:val="20"/>
                <w:szCs w:val="20"/>
              </w:rPr>
            </w:pPr>
          </w:p>
        </w:tc>
        <w:tc>
          <w:tcPr>
            <w:tcW w:w="3402" w:type="dxa"/>
          </w:tcPr>
          <w:p>
            <w:pPr>
              <w:snapToGrid w:val="0"/>
              <w:spacing w:line="288" w:lineRule="auto"/>
              <w:rPr>
                <w:rFonts w:ascii="Times New Roman" w:hAnsi="Times New Roman" w:cs="Times New Roman" w:eastAsiaTheme="minorEastAsia"/>
                <w:bCs/>
                <w:kern w:val="0"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rFonts w:ascii="Times New Roman" w:hAnsi="Times New Roman" w:cs="Times New Roman" w:eastAsiaTheme="minorEastAsia"/>
                <w:bCs/>
                <w:kern w:val="0"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MS Mincho" w:cs="Times New Roman"/>
                <w:bCs/>
                <w:kern w:val="0"/>
                <w:sz w:val="20"/>
                <w:szCs w:val="20"/>
              </w:rPr>
              <w:t>1</w:t>
            </w:r>
            <w:r>
              <w:rPr>
                <w:rFonts w:hint="eastAsia" w:ascii="MS Mincho" w:hAnsi="MS Mincho" w:eastAsia="MS Mincho" w:cs="Times New Roman"/>
                <w:bCs/>
                <w:kern w:val="0"/>
                <w:sz w:val="20"/>
                <w:szCs w:val="20"/>
              </w:rPr>
              <w:t>、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熟记单词</w:t>
            </w:r>
            <w:r>
              <w:rPr>
                <w:rFonts w:hint="eastAsia" w:ascii="MS Mincho" w:hAnsi="MS Mincho" w:eastAsia="MS Mincho" w:cs="Times New Roman"/>
                <w:bCs/>
                <w:kern w:val="0"/>
                <w:sz w:val="20"/>
                <w:szCs w:val="20"/>
              </w:rPr>
              <w:t>。</w:t>
            </w:r>
          </w:p>
          <w:p>
            <w:pPr>
              <w:snapToGrid w:val="0"/>
              <w:spacing w:line="288" w:lineRule="auto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MS Mincho" w:cs="Times New Roman"/>
                <w:bCs/>
                <w:kern w:val="0"/>
                <w:sz w:val="20"/>
                <w:szCs w:val="20"/>
              </w:rPr>
              <w:t>2</w:t>
            </w:r>
            <w:r>
              <w:rPr>
                <w:rFonts w:hint="eastAsia" w:ascii="MS Mincho" w:hAnsi="MS Mincho" w:eastAsia="MS Mincho" w:cs="Times New Roman"/>
                <w:bCs/>
                <w:kern w:val="0"/>
                <w:sz w:val="20"/>
                <w:szCs w:val="20"/>
              </w:rPr>
              <w:t>、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要求本文背诵，能正确理解。特别是里面出现的新单词、新句型要熟练掌握。</w:t>
            </w:r>
          </w:p>
          <w:p>
            <w:pPr>
              <w:snapToGrid w:val="0"/>
              <w:spacing w:line="288" w:lineRule="auto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MS Mincho" w:cs="Times New Roman"/>
                <w:bCs/>
                <w:kern w:val="0"/>
                <w:sz w:val="20"/>
                <w:szCs w:val="20"/>
              </w:rPr>
              <w:t>3、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要求模仿课文内容，设置场景进行会话练习。</w:t>
            </w:r>
          </w:p>
          <w:p>
            <w:pPr>
              <w:snapToGrid w:val="0"/>
              <w:spacing w:line="288" w:lineRule="auto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MS Mincho" w:cs="Times New Roman"/>
                <w:bCs/>
                <w:kern w:val="0"/>
                <w:sz w:val="20"/>
                <w:szCs w:val="20"/>
              </w:rPr>
              <w:t>4</w:t>
            </w:r>
            <w:r>
              <w:rPr>
                <w:rFonts w:hint="eastAsia" w:ascii="MS Mincho" w:hAnsi="MS Mincho" w:eastAsia="MS Mincho" w:cs="Times New Roman"/>
                <w:bCs/>
                <w:kern w:val="0"/>
                <w:sz w:val="20"/>
                <w:szCs w:val="20"/>
              </w:rPr>
              <w:t>、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帮助学生分析其主要内容，提高广泛阅读能力</w:t>
            </w:r>
          </w:p>
          <w:p>
            <w:pPr>
              <w:snapToGrid w:val="0"/>
              <w:spacing w:line="288" w:lineRule="auto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MS Mincho" w:cs="Times New Roman"/>
                <w:bCs/>
                <w:kern w:val="0"/>
                <w:sz w:val="20"/>
                <w:szCs w:val="20"/>
              </w:rPr>
              <w:t>5、</w:t>
            </w:r>
            <w:r>
              <w:rPr>
                <w:rFonts w:hint="eastAsia" w:ascii="Times New Roman" w:hAnsi="Times New Roman" w:eastAsia="宋体" w:cs="Times New Roman"/>
                <w:bCs/>
                <w:kern w:val="0"/>
                <w:sz w:val="20"/>
                <w:szCs w:val="20"/>
              </w:rPr>
              <w:t>通过练习考查本课知识掌握情况。</w:t>
            </w:r>
          </w:p>
        </w:tc>
      </w:tr>
    </w:tbl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firstLine="402" w:firstLineChars="200"/>
        <w:rPr>
          <w:rFonts w:ascii="宋体" w:hAnsi="宋体"/>
          <w:b/>
          <w:bCs/>
          <w:sz w:val="20"/>
          <w:szCs w:val="20"/>
        </w:rPr>
      </w:pPr>
    </w:p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  <w:bookmarkStart w:id="1" w:name="_GoBack"/>
      <w:bookmarkEnd w:id="1"/>
    </w:p>
    <w:p>
      <w:pPr>
        <w:snapToGrid w:val="0"/>
        <w:spacing w:line="288" w:lineRule="auto"/>
        <w:ind w:right="2520" w:firstLine="480" w:firstLineChars="200"/>
        <w:rPr>
          <w:sz w:val="20"/>
          <w:szCs w:val="20"/>
        </w:rPr>
      </w:pPr>
      <w:r>
        <w:rPr>
          <w:rFonts w:hint="eastAsia" w:ascii="黑体" w:hAnsi="宋体" w:eastAsia="黑体"/>
          <w:sz w:val="24"/>
        </w:rPr>
        <w:t>七、评价方式与成绩</w:t>
      </w:r>
    </w:p>
    <w:tbl>
      <w:tblPr>
        <w:tblStyle w:val="10"/>
        <w:tblpPr w:leftFromText="180" w:rightFromText="180" w:vertAnchor="text" w:horzAnchor="page" w:tblpX="1853" w:tblpY="260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期末闭卷考试</w:t>
            </w:r>
          </w:p>
        </w:tc>
        <w:tc>
          <w:tcPr>
            <w:tcW w:w="184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15%</w:t>
            </w:r>
          </w:p>
        </w:tc>
      </w:tr>
    </w:tbl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撰写人：章培新                  系主任审核签名：</w:t>
      </w: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审核时间：                       </w:t>
      </w:r>
    </w:p>
    <w:p/>
    <w:p>
      <w:pPr>
        <w:widowControl/>
        <w:jc w:val="left"/>
        <w:rPr>
          <w:b/>
          <w:sz w:val="28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5149CF"/>
    <w:multiLevelType w:val="singleLevel"/>
    <w:tmpl w:val="CB5149C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49"/>
    <w:rsid w:val="00000941"/>
    <w:rsid w:val="000137D9"/>
    <w:rsid w:val="00015087"/>
    <w:rsid w:val="00045ED2"/>
    <w:rsid w:val="000B18CC"/>
    <w:rsid w:val="000B558E"/>
    <w:rsid w:val="000E285A"/>
    <w:rsid w:val="00114D6A"/>
    <w:rsid w:val="00130B0F"/>
    <w:rsid w:val="001766EE"/>
    <w:rsid w:val="001873A6"/>
    <w:rsid w:val="00195B14"/>
    <w:rsid w:val="001A1DAA"/>
    <w:rsid w:val="001B2998"/>
    <w:rsid w:val="001C1B93"/>
    <w:rsid w:val="001D0D84"/>
    <w:rsid w:val="00201C30"/>
    <w:rsid w:val="0021389C"/>
    <w:rsid w:val="00216961"/>
    <w:rsid w:val="00262E42"/>
    <w:rsid w:val="0027174A"/>
    <w:rsid w:val="00295C0D"/>
    <w:rsid w:val="002D504B"/>
    <w:rsid w:val="002D7B54"/>
    <w:rsid w:val="002F630F"/>
    <w:rsid w:val="00314106"/>
    <w:rsid w:val="00340A17"/>
    <w:rsid w:val="00341524"/>
    <w:rsid w:val="00352907"/>
    <w:rsid w:val="003772F1"/>
    <w:rsid w:val="0037771E"/>
    <w:rsid w:val="00377A75"/>
    <w:rsid w:val="00380577"/>
    <w:rsid w:val="0038309C"/>
    <w:rsid w:val="003A1BB7"/>
    <w:rsid w:val="003A3FFC"/>
    <w:rsid w:val="003A63EF"/>
    <w:rsid w:val="003B76DC"/>
    <w:rsid w:val="003C2C4C"/>
    <w:rsid w:val="003D0AB6"/>
    <w:rsid w:val="003F16AE"/>
    <w:rsid w:val="00416C1A"/>
    <w:rsid w:val="00417BFC"/>
    <w:rsid w:val="00447669"/>
    <w:rsid w:val="0045045A"/>
    <w:rsid w:val="00485039"/>
    <w:rsid w:val="0048729A"/>
    <w:rsid w:val="004B0E5E"/>
    <w:rsid w:val="004D67C4"/>
    <w:rsid w:val="00503A6F"/>
    <w:rsid w:val="00547DF9"/>
    <w:rsid w:val="00565973"/>
    <w:rsid w:val="00576178"/>
    <w:rsid w:val="005769EF"/>
    <w:rsid w:val="005876A5"/>
    <w:rsid w:val="00597DC2"/>
    <w:rsid w:val="005B1E1D"/>
    <w:rsid w:val="005B3E0A"/>
    <w:rsid w:val="006219EF"/>
    <w:rsid w:val="00636B11"/>
    <w:rsid w:val="00653842"/>
    <w:rsid w:val="00655DCC"/>
    <w:rsid w:val="00680EB8"/>
    <w:rsid w:val="006B539D"/>
    <w:rsid w:val="006E0098"/>
    <w:rsid w:val="006E2BC9"/>
    <w:rsid w:val="007C7C70"/>
    <w:rsid w:val="007E0D92"/>
    <w:rsid w:val="007F1B3B"/>
    <w:rsid w:val="007F75FB"/>
    <w:rsid w:val="008133FC"/>
    <w:rsid w:val="00836008"/>
    <w:rsid w:val="008561B1"/>
    <w:rsid w:val="00881AFA"/>
    <w:rsid w:val="008A4685"/>
    <w:rsid w:val="008B0C19"/>
    <w:rsid w:val="008C7316"/>
    <w:rsid w:val="008E0BB1"/>
    <w:rsid w:val="008E5D3D"/>
    <w:rsid w:val="008F3706"/>
    <w:rsid w:val="009268A7"/>
    <w:rsid w:val="00941839"/>
    <w:rsid w:val="009A25E8"/>
    <w:rsid w:val="009A7BCE"/>
    <w:rsid w:val="009B0A4A"/>
    <w:rsid w:val="009B5FF1"/>
    <w:rsid w:val="009D1130"/>
    <w:rsid w:val="009D7DAC"/>
    <w:rsid w:val="009F0ABA"/>
    <w:rsid w:val="009F6041"/>
    <w:rsid w:val="00A01F2B"/>
    <w:rsid w:val="00A10AEF"/>
    <w:rsid w:val="00A3202C"/>
    <w:rsid w:val="00A33DC1"/>
    <w:rsid w:val="00A409C1"/>
    <w:rsid w:val="00A46AE1"/>
    <w:rsid w:val="00A70FFD"/>
    <w:rsid w:val="00AA3DB5"/>
    <w:rsid w:val="00B52CCD"/>
    <w:rsid w:val="00B603B0"/>
    <w:rsid w:val="00B64D0C"/>
    <w:rsid w:val="00BB41C8"/>
    <w:rsid w:val="00BD56E8"/>
    <w:rsid w:val="00BE3736"/>
    <w:rsid w:val="00BF0ED6"/>
    <w:rsid w:val="00BF2721"/>
    <w:rsid w:val="00C067DD"/>
    <w:rsid w:val="00C17FE6"/>
    <w:rsid w:val="00C41322"/>
    <w:rsid w:val="00C45C25"/>
    <w:rsid w:val="00C55567"/>
    <w:rsid w:val="00C63FD8"/>
    <w:rsid w:val="00C72331"/>
    <w:rsid w:val="00C80BED"/>
    <w:rsid w:val="00CB5D57"/>
    <w:rsid w:val="00CD4429"/>
    <w:rsid w:val="00CD6FD9"/>
    <w:rsid w:val="00D20AB5"/>
    <w:rsid w:val="00D33367"/>
    <w:rsid w:val="00D37F78"/>
    <w:rsid w:val="00D41851"/>
    <w:rsid w:val="00DB3395"/>
    <w:rsid w:val="00DC1F6F"/>
    <w:rsid w:val="00DC7DB5"/>
    <w:rsid w:val="00DD7EBA"/>
    <w:rsid w:val="00DE2B85"/>
    <w:rsid w:val="00E21D51"/>
    <w:rsid w:val="00E529D8"/>
    <w:rsid w:val="00E62480"/>
    <w:rsid w:val="00E7702E"/>
    <w:rsid w:val="00E93612"/>
    <w:rsid w:val="00EB2D1D"/>
    <w:rsid w:val="00ED51A3"/>
    <w:rsid w:val="00ED53D6"/>
    <w:rsid w:val="00F064B1"/>
    <w:rsid w:val="00F604CB"/>
    <w:rsid w:val="00F64083"/>
    <w:rsid w:val="00F81A77"/>
    <w:rsid w:val="00F903AC"/>
    <w:rsid w:val="00F94D88"/>
    <w:rsid w:val="00FB3876"/>
    <w:rsid w:val="00FD4658"/>
    <w:rsid w:val="00FE1749"/>
    <w:rsid w:val="00FF38A2"/>
    <w:rsid w:val="05132BA0"/>
    <w:rsid w:val="271D3208"/>
    <w:rsid w:val="59A4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8">
    <w:name w:val="toc 2"/>
    <w:basedOn w:val="1"/>
    <w:next w:val="1"/>
    <w:semiHidden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5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16">
    <w:name w:val="批注框文本 Char"/>
    <w:basedOn w:val="12"/>
    <w:link w:val="4"/>
    <w:semiHidden/>
    <w:uiPriority w:val="99"/>
    <w:rPr>
      <w:sz w:val="18"/>
      <w:szCs w:val="18"/>
    </w:rPr>
  </w:style>
  <w:style w:type="character" w:customStyle="1" w:styleId="17">
    <w:name w:val="页眉 Char"/>
    <w:basedOn w:val="12"/>
    <w:link w:val="6"/>
    <w:qFormat/>
    <w:uiPriority w:val="99"/>
    <w:rPr>
      <w:sz w:val="18"/>
      <w:szCs w:val="18"/>
    </w:rPr>
  </w:style>
  <w:style w:type="character" w:customStyle="1" w:styleId="18">
    <w:name w:val="页脚 Char"/>
    <w:basedOn w:val="12"/>
    <w:link w:val="5"/>
    <w:qFormat/>
    <w:uiPriority w:val="99"/>
    <w:rPr>
      <w:sz w:val="18"/>
      <w:szCs w:val="18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54B24D-65F2-463A-AA9F-9BC4C3B948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416</Words>
  <Characters>2377</Characters>
  <Lines>19</Lines>
  <Paragraphs>5</Paragraphs>
  <TotalTime>1</TotalTime>
  <ScaleCrop>false</ScaleCrop>
  <LinksUpToDate>false</LinksUpToDate>
  <CharactersWithSpaces>2788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2020-12-29T06:45:00Z</dcterms:created>
  <dc:creator>AutoBVT</dc:creator>
  <cp:lastModifiedBy>Administrator</cp:lastModifiedBy>
  <dcterms:modified xsi:type="dcterms:W3CDTF">2021-09-15T04:01:28Z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95B91A4E56064F468AF7C4B535E821A3</vt:lpwstr>
  </property>
</Properties>
</file>